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6311" w14:textId="6135EC9D" w:rsidR="00926220" w:rsidRPr="002779F6" w:rsidRDefault="002F0166" w:rsidP="002779F6">
      <w:pPr>
        <w:spacing w:after="0"/>
        <w:rPr>
          <w:rFonts w:asciiTheme="minorHAnsi" w:hAnsiTheme="minorHAnsi"/>
        </w:rPr>
      </w:pPr>
      <w:bookmarkStart w:id="0" w:name="_Hlk33432474"/>
      <w:r w:rsidRPr="002779F6">
        <w:rPr>
          <w:rFonts w:asciiTheme="minorHAnsi" w:eastAsia="Times New Roman" w:hAnsiTheme="minorHAnsi" w:cs="Times New Roman"/>
          <w:b/>
          <w:sz w:val="32"/>
        </w:rPr>
        <w:t>Exhibit A – Allowable Costs</w:t>
      </w:r>
    </w:p>
    <w:bookmarkEnd w:id="0"/>
    <w:p w14:paraId="59C38C85"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sz w:val="24"/>
        </w:rPr>
        <w:t xml:space="preserve"> </w:t>
      </w:r>
    </w:p>
    <w:p w14:paraId="3DF2A235" w14:textId="77777777" w:rsidR="00926220" w:rsidRPr="00DA4653" w:rsidRDefault="002F0166" w:rsidP="002779F6">
      <w:pPr>
        <w:spacing w:after="0"/>
        <w:rPr>
          <w:rFonts w:asciiTheme="minorHAnsi" w:hAnsiTheme="minorHAnsi"/>
          <w:b/>
        </w:rPr>
      </w:pPr>
      <w:r w:rsidRPr="00DA4653">
        <w:rPr>
          <w:rFonts w:asciiTheme="minorHAnsi" w:eastAsia="Times New Roman" w:hAnsiTheme="minorHAnsi" w:cs="Times New Roman"/>
          <w:b/>
          <w:sz w:val="24"/>
        </w:rPr>
        <w:t xml:space="preserve"> </w:t>
      </w:r>
      <w:r w:rsidRPr="00DA4653">
        <w:rPr>
          <w:rFonts w:asciiTheme="minorHAnsi" w:eastAsia="Times New Roman" w:hAnsiTheme="minorHAnsi" w:cs="Times New Roman"/>
          <w:b/>
        </w:rPr>
        <w:t xml:space="preserve">The purpose of this exhibit is to: </w:t>
      </w:r>
    </w:p>
    <w:p w14:paraId="2045A791" w14:textId="11409473"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Provide further guidance on the allowable costs for this grant. </w:t>
      </w:r>
    </w:p>
    <w:p w14:paraId="2B3A3720" w14:textId="3DC81837"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Define the budget and expenditure categories available for reporting allowable direct costs in </w:t>
      </w:r>
      <w:r w:rsidR="002779F6">
        <w:rPr>
          <w:rFonts w:asciiTheme="minorHAnsi" w:eastAsia="Times New Roman" w:hAnsiTheme="minorHAnsi" w:cs="Times New Roman"/>
        </w:rPr>
        <w:t xml:space="preserve">the Grant </w:t>
      </w:r>
      <w:r w:rsidR="0002527A">
        <w:rPr>
          <w:rFonts w:asciiTheme="minorHAnsi" w:eastAsia="Times New Roman" w:hAnsiTheme="minorHAnsi" w:cs="Times New Roman"/>
        </w:rPr>
        <w:t xml:space="preserve">Management </w:t>
      </w:r>
      <w:r w:rsidR="002779F6">
        <w:rPr>
          <w:rFonts w:asciiTheme="minorHAnsi" w:eastAsia="Times New Roman" w:hAnsiTheme="minorHAnsi" w:cs="Times New Roman"/>
        </w:rPr>
        <w:t>System (</w:t>
      </w:r>
      <w:r w:rsidR="0002527A">
        <w:rPr>
          <w:rFonts w:asciiTheme="minorHAnsi" w:eastAsia="Times New Roman" w:hAnsiTheme="minorHAnsi" w:cs="Times New Roman"/>
        </w:rPr>
        <w:t>GMS</w:t>
      </w:r>
      <w:r w:rsidR="002779F6">
        <w:rPr>
          <w:rFonts w:asciiTheme="minorHAnsi" w:eastAsia="Times New Roman" w:hAnsiTheme="minorHAnsi" w:cs="Times New Roman"/>
        </w:rPr>
        <w:t>)</w:t>
      </w:r>
      <w:r w:rsidRPr="002779F6">
        <w:rPr>
          <w:rFonts w:asciiTheme="minorHAnsi" w:eastAsia="Times New Roman" w:hAnsiTheme="minorHAnsi" w:cs="Times New Roman"/>
        </w:rPr>
        <w:t xml:space="preserve">. </w:t>
      </w:r>
    </w:p>
    <w:p w14:paraId="00228BC4" w14:textId="08F00D75" w:rsidR="002779F6" w:rsidRDefault="002779F6">
      <w:pPr>
        <w:spacing w:after="0"/>
        <w:rPr>
          <w:rFonts w:asciiTheme="minorHAnsi" w:hAnsiTheme="minorHAnsi"/>
        </w:rPr>
      </w:pPr>
    </w:p>
    <w:p w14:paraId="4858828B"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b/>
          <w:u w:val="single"/>
        </w:rPr>
        <w:t xml:space="preserve">Allowable Costs </w:t>
      </w:r>
    </w:p>
    <w:p w14:paraId="0694EC03" w14:textId="76405BBA" w:rsidR="00926220" w:rsidRPr="002779F6" w:rsidRDefault="002F0166" w:rsidP="002779F6">
      <w:pPr>
        <w:spacing w:after="0"/>
        <w:rPr>
          <w:rFonts w:asciiTheme="minorHAnsi" w:hAnsiTheme="minorHAnsi"/>
          <w:b/>
        </w:rPr>
      </w:pPr>
      <w:r w:rsidRPr="002779F6">
        <w:rPr>
          <w:rFonts w:asciiTheme="minorHAnsi" w:hAnsiTheme="minorHAnsi"/>
          <w:b/>
        </w:rPr>
        <w:t xml:space="preserve">Indirect Costs </w:t>
      </w:r>
    </w:p>
    <w:p w14:paraId="739B095F" w14:textId="48DF7F8F" w:rsidR="00DA238D" w:rsidRDefault="00B85765"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USDOE requires grants with a no supplant provision, such as Part C (</w:t>
      </w:r>
      <w:r>
        <w:t xml:space="preserve">34 CFR 303.225c) to follow specific regulations for indirect costs, which are contained in </w:t>
      </w:r>
      <w:r w:rsidRPr="04B75FE1">
        <w:rPr>
          <w:rFonts w:asciiTheme="minorHAnsi" w:eastAsia="Times New Roman" w:hAnsiTheme="minorHAnsi" w:cs="Times New Roman"/>
        </w:rPr>
        <w:t>EDGAR 34 CFR 76.560-76.580</w:t>
      </w:r>
      <w:r>
        <w:t xml:space="preserve">. </w:t>
      </w:r>
      <w:r w:rsidR="00CE5AFF">
        <w:t xml:space="preserve">Subrecipients choosing to charge indirect costs to this grant shall follow Section 1.5 of the Agreement. </w:t>
      </w:r>
      <w:r w:rsidR="00DA238D" w:rsidRPr="04B75FE1">
        <w:rPr>
          <w:rFonts w:asciiTheme="minorHAnsi" w:eastAsia="Times New Roman" w:hAnsiTheme="minorHAnsi" w:cs="Times New Roman"/>
        </w:rPr>
        <w:t xml:space="preserve"> </w:t>
      </w:r>
    </w:p>
    <w:p w14:paraId="412D7222" w14:textId="07804C62" w:rsidR="00F44CA0" w:rsidRDefault="00F44CA0" w:rsidP="04B75FE1">
      <w:pPr>
        <w:spacing w:after="11" w:line="249" w:lineRule="auto"/>
        <w:ind w:left="10" w:right="730" w:hanging="10"/>
        <w:jc w:val="both"/>
        <w:rPr>
          <w:rFonts w:asciiTheme="minorHAnsi" w:eastAsia="Times New Roman" w:hAnsiTheme="minorHAnsi" w:cs="Times New Roman"/>
        </w:rPr>
      </w:pPr>
    </w:p>
    <w:p w14:paraId="5732D56A"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u w:val="single"/>
        </w:rPr>
        <w:t>Indirect Costs.</w:t>
      </w:r>
      <w:r w:rsidRPr="04B75FE1">
        <w:rPr>
          <w:rFonts w:asciiTheme="minorHAnsi" w:eastAsia="Times New Roman" w:hAnsiTheme="minorHAnsi" w:cs="Times New Roman"/>
        </w:rPr>
        <w:t xml:space="preserve"> Indirect costs charged to the Grant shall be in accordance with 34 CFR 303.225(c) and 34 CFR 76.560-76.580. The maximum amount of indirect costs charged to the grant shall be determined by the following formula: </w:t>
      </w:r>
    </w:p>
    <w:p w14:paraId="51EDC0A4" w14:textId="77777777" w:rsidR="00F44CA0" w:rsidRDefault="00F44CA0" w:rsidP="04B75FE1">
      <w:pPr>
        <w:spacing w:after="11" w:line="249" w:lineRule="auto"/>
        <w:ind w:left="10" w:right="730" w:hanging="10"/>
        <w:jc w:val="both"/>
        <w:rPr>
          <w:rFonts w:asciiTheme="minorHAnsi" w:eastAsia="Times New Roman" w:hAnsiTheme="minorHAnsi" w:cs="Times New Roman"/>
        </w:rPr>
      </w:pPr>
    </w:p>
    <w:p w14:paraId="2545C6D8" w14:textId="77DF708D"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Indirect costs= (Restricted indirect cost rate) x (Base)</w:t>
      </w:r>
    </w:p>
    <w:p w14:paraId="00EA251D"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319E7871"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 xml:space="preserve">Base: Total direct costs excluding capital expenditures (including equipment as defined in this Section), alterations and renovations, food purchases, personal service contracts and subawards </w:t>
      </w:r>
      <w:proofErr w:type="gramStart"/>
      <w:r w:rsidRPr="04B75FE1">
        <w:rPr>
          <w:rFonts w:asciiTheme="minorHAnsi" w:eastAsia="Times New Roman" w:hAnsiTheme="minorHAnsi" w:cs="Times New Roman"/>
        </w:rPr>
        <w:t>in excess of</w:t>
      </w:r>
      <w:proofErr w:type="gramEnd"/>
      <w:r w:rsidRPr="04B75FE1">
        <w:rPr>
          <w:rFonts w:asciiTheme="minorHAnsi" w:eastAsia="Times New Roman" w:hAnsiTheme="minorHAnsi" w:cs="Times New Roman"/>
        </w:rPr>
        <w:t xml:space="preserve"> $25,000 per subcontract/subaward, previously charged indirect costs and flow through funds. </w:t>
      </w:r>
    </w:p>
    <w:p w14:paraId="277F55A7"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5B05BB66" w14:textId="146EE798"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7A47057C">
        <w:rPr>
          <w:rFonts w:asciiTheme="minorHAnsi" w:eastAsia="Times New Roman" w:hAnsiTheme="minorHAnsi" w:cs="Times New Roman"/>
        </w:rPr>
        <w:t>Subrecipients with USDOE as their cognizant agency shall use the Restricted Indirect Cost Rate (RICR) approved by the Ohio Department of Education (ODE) to charge indirect costs to the grant. Subrecipients submitting a provisional rate with their budget are required to upload their final rate approval letter from ODE by June 1, 202</w:t>
      </w:r>
      <w:r w:rsidR="006A672E">
        <w:rPr>
          <w:rFonts w:asciiTheme="minorHAnsi" w:eastAsia="Times New Roman" w:hAnsiTheme="minorHAnsi" w:cs="Times New Roman"/>
        </w:rPr>
        <w:t>3</w:t>
      </w:r>
      <w:r w:rsidRPr="7A47057C">
        <w:rPr>
          <w:rFonts w:asciiTheme="minorHAnsi" w:eastAsia="Times New Roman" w:hAnsiTheme="minorHAnsi" w:cs="Times New Roman"/>
        </w:rPr>
        <w:t>. All indirect costs charged to the grant using the provisional rate shall be reconciled with the final rate no later than June 24, 202</w:t>
      </w:r>
      <w:r w:rsidR="006A672E">
        <w:rPr>
          <w:rFonts w:asciiTheme="minorHAnsi" w:eastAsia="Times New Roman" w:hAnsiTheme="minorHAnsi" w:cs="Times New Roman"/>
        </w:rPr>
        <w:t>3</w:t>
      </w:r>
      <w:r w:rsidRPr="7A47057C">
        <w:rPr>
          <w:rFonts w:asciiTheme="minorHAnsi" w:eastAsia="Times New Roman" w:hAnsiTheme="minorHAnsi" w:cs="Times New Roman"/>
        </w:rPr>
        <w:t xml:space="preserve">. If necessary, Subrecipients shall request budget modifications and enter offsets in </w:t>
      </w:r>
      <w:r w:rsidR="0002527A">
        <w:rPr>
          <w:rFonts w:asciiTheme="minorHAnsi" w:eastAsia="Times New Roman" w:hAnsiTheme="minorHAnsi" w:cs="Times New Roman"/>
        </w:rPr>
        <w:t>GMS</w:t>
      </w:r>
      <w:r w:rsidR="0002527A" w:rsidRPr="7A47057C">
        <w:rPr>
          <w:rFonts w:asciiTheme="minorHAnsi" w:eastAsia="Times New Roman" w:hAnsiTheme="minorHAnsi" w:cs="Times New Roman"/>
        </w:rPr>
        <w:t xml:space="preserve"> </w:t>
      </w:r>
      <w:r w:rsidRPr="7A47057C">
        <w:rPr>
          <w:rFonts w:asciiTheme="minorHAnsi" w:eastAsia="Times New Roman" w:hAnsiTheme="minorHAnsi" w:cs="Times New Roman"/>
        </w:rPr>
        <w:t xml:space="preserve">as needed to ensure that the total amount charged to indirect costs aligns with the final rate approved by ODE. </w:t>
      </w:r>
    </w:p>
    <w:p w14:paraId="05F32471"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5FFF10C2" w14:textId="7DB774D4" w:rsidR="00F44CA0" w:rsidRPr="00DA238D" w:rsidRDefault="00F44CA0" w:rsidP="04B75FE1">
      <w:pPr>
        <w:spacing w:after="11" w:line="249" w:lineRule="auto"/>
        <w:ind w:left="10" w:right="730" w:hanging="10"/>
        <w:jc w:val="both"/>
        <w:rPr>
          <w:rFonts w:asciiTheme="minorHAnsi" w:eastAsia="Times New Roman" w:hAnsiTheme="minorHAnsi" w:cs="Times New Roman"/>
        </w:rPr>
      </w:pPr>
      <w:r w:rsidRPr="1FAC8B10">
        <w:rPr>
          <w:rFonts w:asciiTheme="minorHAnsi" w:eastAsia="Times New Roman" w:hAnsiTheme="minorHAnsi" w:cs="Times New Roman"/>
        </w:rPr>
        <w:t xml:space="preserve">For Subrecipients that do not have USDOE as their cognizant agency, the RICR is 8%. Subrecipients charging indirect costs are required to submit documentation in </w:t>
      </w:r>
      <w:r w:rsidR="0002527A">
        <w:rPr>
          <w:rFonts w:asciiTheme="minorHAnsi" w:eastAsia="Times New Roman" w:hAnsiTheme="minorHAnsi" w:cs="Times New Roman"/>
        </w:rPr>
        <w:t>GMS</w:t>
      </w:r>
      <w:r w:rsidR="0002527A" w:rsidRPr="1FAC8B10">
        <w:rPr>
          <w:rFonts w:asciiTheme="minorHAnsi" w:eastAsia="Times New Roman" w:hAnsiTheme="minorHAnsi" w:cs="Times New Roman"/>
        </w:rPr>
        <w:t xml:space="preserve"> </w:t>
      </w:r>
      <w:r w:rsidRPr="1FAC8B10">
        <w:rPr>
          <w:rFonts w:asciiTheme="minorHAnsi" w:eastAsia="Times New Roman" w:hAnsiTheme="minorHAnsi" w:cs="Times New Roman"/>
        </w:rPr>
        <w:t>in accordance with Section 3.</w:t>
      </w:r>
      <w:r w:rsidR="362FB43C" w:rsidRPr="1FAC8B10">
        <w:rPr>
          <w:rFonts w:asciiTheme="minorHAnsi" w:eastAsia="Times New Roman" w:hAnsiTheme="minorHAnsi" w:cs="Times New Roman"/>
        </w:rPr>
        <w:t>2</w:t>
      </w:r>
      <w:r w:rsidRPr="1FAC8B10">
        <w:rPr>
          <w:rFonts w:asciiTheme="minorHAnsi" w:eastAsia="Times New Roman" w:hAnsiTheme="minorHAnsi" w:cs="Times New Roman"/>
        </w:rPr>
        <w:t xml:space="preserve"> of the Agreement.</w:t>
      </w:r>
    </w:p>
    <w:p w14:paraId="1412A236" w14:textId="0B0A0F19" w:rsidR="00926220" w:rsidRPr="002779F6" w:rsidRDefault="00926220">
      <w:pPr>
        <w:spacing w:after="0"/>
        <w:rPr>
          <w:rFonts w:asciiTheme="minorHAnsi" w:hAnsiTheme="minorHAnsi"/>
        </w:rPr>
      </w:pPr>
    </w:p>
    <w:p w14:paraId="29E5BA39" w14:textId="77777777" w:rsidR="00926220" w:rsidRPr="002779F6" w:rsidRDefault="002F0166">
      <w:pPr>
        <w:pStyle w:val="Heading1"/>
        <w:ind w:left="-5"/>
        <w:rPr>
          <w:rFonts w:asciiTheme="minorHAnsi" w:hAnsiTheme="minorHAnsi"/>
          <w:b/>
          <w:sz w:val="22"/>
          <w:u w:val="none"/>
        </w:rPr>
      </w:pPr>
      <w:r w:rsidRPr="002779F6">
        <w:rPr>
          <w:rFonts w:asciiTheme="minorHAnsi" w:hAnsiTheme="minorHAnsi"/>
          <w:b/>
          <w:sz w:val="22"/>
          <w:u w:val="none"/>
        </w:rPr>
        <w:t xml:space="preserve">Direct Costs </w:t>
      </w:r>
    </w:p>
    <w:p w14:paraId="6D25F6EB" w14:textId="00222B00" w:rsidR="00926220" w:rsidRPr="00213125" w:rsidRDefault="0050307C" w:rsidP="00213125">
      <w:pPr>
        <w:spacing w:after="11" w:line="249" w:lineRule="auto"/>
        <w:ind w:left="10" w:right="730" w:hanging="10"/>
        <w:jc w:val="both"/>
        <w:rPr>
          <w:rFonts w:asciiTheme="minorHAnsi" w:eastAsia="Times New Roman" w:hAnsiTheme="minorHAnsi" w:cs="Times New Roman"/>
        </w:rPr>
      </w:pPr>
      <w:r w:rsidRPr="0050307C">
        <w:rPr>
          <w:rFonts w:asciiTheme="minorHAnsi" w:eastAsia="Times New Roman" w:hAnsiTheme="minorHAnsi" w:cs="Times New Roman"/>
        </w:rPr>
        <w:t xml:space="preserve">Grant funds shall be used </w:t>
      </w:r>
      <w:r w:rsidRPr="0050307C">
        <w:rPr>
          <w:rFonts w:asciiTheme="minorHAnsi" w:eastAsia="Times New Roman" w:hAnsiTheme="minorHAnsi" w:cs="Times New Roman"/>
          <w:bCs/>
        </w:rPr>
        <w:t xml:space="preserve">in accordance with 34 CFR 303.501 (Use of Funds) </w:t>
      </w:r>
      <w:r w:rsidRPr="0050307C">
        <w:rPr>
          <w:rFonts w:asciiTheme="minorHAnsi" w:eastAsia="Times New Roman" w:hAnsiTheme="minorHAnsi" w:cs="Times New Roman"/>
        </w:rPr>
        <w:t xml:space="preserve">to provide service coordination as defined in 34 CFR </w:t>
      </w:r>
      <w:r w:rsidRPr="0050307C">
        <w:rPr>
          <w:rFonts w:asciiTheme="minorHAnsi" w:eastAsia="Times New Roman" w:hAnsiTheme="minorHAnsi" w:cs="Times New Roman"/>
          <w:bCs/>
        </w:rPr>
        <w:t>303.34, evaluation and assessment as defined in 34 CFR 303.321, other costs related to providing these mandated activities, and early intervention child find outreach activities in accordance with 34 CFR 303.302.</w:t>
      </w:r>
      <w:r>
        <w:rPr>
          <w:rFonts w:asciiTheme="minorHAnsi" w:eastAsia="Times New Roman" w:hAnsiTheme="minorHAnsi" w:cs="Times New Roman"/>
          <w:bCs/>
        </w:rPr>
        <w:t xml:space="preserve"> </w:t>
      </w:r>
      <w:r w:rsidR="00213125">
        <w:rPr>
          <w:rFonts w:asciiTheme="minorHAnsi" w:eastAsia="Times New Roman" w:hAnsiTheme="minorHAnsi" w:cs="Times New Roman"/>
        </w:rPr>
        <w:t>Direct costs for providing these services shall be charged in accordance with</w:t>
      </w:r>
      <w:r w:rsidR="00213125" w:rsidRPr="00213125">
        <w:rPr>
          <w:rFonts w:asciiTheme="minorHAnsi" w:eastAsia="Times New Roman" w:hAnsiTheme="minorHAnsi" w:cs="Times New Roman"/>
        </w:rPr>
        <w:t xml:space="preserve"> Office of Management and Budget Uniform Guidance 2 CFR 200, as adopted by the USDOE</w:t>
      </w:r>
      <w:r w:rsidR="00213125">
        <w:rPr>
          <w:rFonts w:asciiTheme="minorHAnsi" w:eastAsia="Times New Roman" w:hAnsiTheme="minorHAnsi" w:cs="Times New Roman"/>
        </w:rPr>
        <w:t xml:space="preserve"> in 34 CFR EDGAR. Allowable direct costs</w:t>
      </w:r>
      <w:r w:rsidR="002F0166" w:rsidRPr="002779F6">
        <w:rPr>
          <w:rFonts w:asciiTheme="minorHAnsi" w:eastAsia="Times New Roman" w:hAnsiTheme="minorHAnsi" w:cs="Times New Roman"/>
        </w:rPr>
        <w:t xml:space="preserve">: </w:t>
      </w:r>
    </w:p>
    <w:p w14:paraId="647E89E2"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Meet the purpose of this grant as outlined in the grant agreement. </w:t>
      </w:r>
    </w:p>
    <w:p w14:paraId="657C8E52"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lastRenderedPageBreak/>
        <w:t>Are</w:t>
      </w:r>
      <w:r w:rsidR="002F0166" w:rsidRPr="002779F6">
        <w:rPr>
          <w:rFonts w:asciiTheme="minorHAnsi" w:eastAsia="Times New Roman" w:hAnsiTheme="minorHAnsi" w:cs="Times New Roman"/>
        </w:rPr>
        <w:t xml:space="preserve"> given consistent treatment. (A cost may not be assigned to a Federal award as a direct cost if any other cost incurred for the same purpose in like circumstances has been allocated to the Federal award as an indirect cost.) </w:t>
      </w:r>
    </w:p>
    <w:p w14:paraId="766CDD37"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t>Must n</w:t>
      </w:r>
      <w:r w:rsidR="002F0166" w:rsidRPr="002779F6">
        <w:rPr>
          <w:rFonts w:asciiTheme="minorHAnsi" w:eastAsia="Times New Roman" w:hAnsiTheme="minorHAnsi" w:cs="Times New Roman"/>
        </w:rPr>
        <w:t xml:space="preserve">ot </w:t>
      </w:r>
      <w:r>
        <w:rPr>
          <w:rFonts w:asciiTheme="minorHAnsi" w:eastAsia="Times New Roman" w:hAnsiTheme="minorHAnsi" w:cs="Times New Roman"/>
        </w:rPr>
        <w:t xml:space="preserve">be </w:t>
      </w:r>
      <w:r w:rsidR="002F0166" w:rsidRPr="002779F6">
        <w:rPr>
          <w:rFonts w:asciiTheme="minorHAnsi" w:eastAsia="Times New Roman" w:hAnsiTheme="minorHAnsi" w:cs="Times New Roman"/>
        </w:rPr>
        <w:t>included as a cost</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or used to meet cost sharing or matching requirements</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of any other federally-financed program in either the current or a prior period. </w:t>
      </w:r>
    </w:p>
    <w:p w14:paraId="496F89BB"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adequately documented. </w:t>
      </w:r>
    </w:p>
    <w:p w14:paraId="5703A36C"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reasonable. </w:t>
      </w:r>
    </w:p>
    <w:p w14:paraId="41A153EE"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rPr>
        <w:t xml:space="preserve"> </w:t>
      </w:r>
    </w:p>
    <w:p w14:paraId="651DA84D" w14:textId="77777777" w:rsidR="00926220" w:rsidRPr="00DA4653" w:rsidRDefault="002F0166">
      <w:pPr>
        <w:spacing w:after="11" w:line="249" w:lineRule="auto"/>
        <w:ind w:left="10" w:right="730" w:hanging="10"/>
        <w:jc w:val="both"/>
        <w:rPr>
          <w:rFonts w:asciiTheme="minorHAnsi" w:hAnsiTheme="minorHAnsi"/>
          <w:b/>
        </w:rPr>
      </w:pPr>
      <w:r w:rsidRPr="00DA4653">
        <w:rPr>
          <w:rFonts w:asciiTheme="minorHAnsi" w:eastAsia="Times New Roman" w:hAnsiTheme="minorHAnsi" w:cs="Times New Roman"/>
          <w:b/>
        </w:rPr>
        <w:t xml:space="preserve">Allowable costs may be allocable:  </w:t>
      </w:r>
    </w:p>
    <w:p w14:paraId="02C16B71" w14:textId="77777777" w:rsidR="00F260F9" w:rsidRDefault="002F0166" w:rsidP="00213125">
      <w:pPr>
        <w:spacing w:after="11" w:line="249" w:lineRule="auto"/>
        <w:ind w:left="10" w:right="730" w:hanging="10"/>
        <w:jc w:val="both"/>
        <w:rPr>
          <w:rFonts w:asciiTheme="minorHAnsi" w:eastAsia="Times New Roman" w:hAnsiTheme="minorHAnsi" w:cs="Times New Roman"/>
        </w:rPr>
      </w:pPr>
      <w:r w:rsidRPr="002779F6">
        <w:rPr>
          <w:rFonts w:asciiTheme="minorHAnsi" w:eastAsia="Times New Roman" w:hAnsiTheme="minorHAnsi" w:cs="Times New Roman"/>
        </w:rPr>
        <w:t xml:space="preserve">If a cost benefits two or more projects or activities in proportions that can be determined without undue effort or cost, the cost must be allocated to the projects based on the proportional benefit. The method and calculation for this proportion must be documented. </w:t>
      </w:r>
    </w:p>
    <w:p w14:paraId="19DED206" w14:textId="77777777" w:rsidR="00F260F9" w:rsidRDefault="00F260F9" w:rsidP="00213125">
      <w:pPr>
        <w:spacing w:after="11" w:line="249" w:lineRule="auto"/>
        <w:ind w:left="10" w:right="730" w:hanging="10"/>
        <w:jc w:val="both"/>
        <w:rPr>
          <w:rFonts w:asciiTheme="minorHAnsi" w:eastAsia="Times New Roman" w:hAnsiTheme="minorHAnsi" w:cs="Times New Roman"/>
        </w:rPr>
      </w:pPr>
    </w:p>
    <w:p w14:paraId="52A7F13A" w14:textId="77777777" w:rsidR="00F260F9" w:rsidRPr="00E94F03" w:rsidRDefault="00F260F9" w:rsidP="00F260F9">
      <w:pPr>
        <w:jc w:val="both"/>
        <w:rPr>
          <w:b/>
          <w:bCs/>
        </w:rPr>
      </w:pPr>
      <w:r w:rsidRPr="00E94F03">
        <w:rPr>
          <w:u w:val="single"/>
        </w:rPr>
        <w:t>Time and Effort for Personnel Costs.</w:t>
      </w:r>
      <w:r>
        <w:rPr>
          <w:b/>
          <w:bCs/>
        </w:rPr>
        <w:t xml:space="preserve"> </w:t>
      </w:r>
      <w:r w:rsidRPr="00E94F03">
        <w:t>When charging personnel costs to the grant, subrecipients shall maintain time and effort reporting consistent with the requirements of the federal Office of Management and Budget Uniform Guidance Subpart D – Cost Principles, particularly 2 CFR 200.430-</w:t>
      </w:r>
      <w:r>
        <w:t>431</w:t>
      </w:r>
      <w:r w:rsidRPr="00E94F03">
        <w:t xml:space="preserve">, which covers compensation of personnel &amp; fringe benefit costs. </w:t>
      </w:r>
    </w:p>
    <w:p w14:paraId="5A082C1F" w14:textId="77777777" w:rsidR="00F260F9" w:rsidRDefault="00F260F9" w:rsidP="00F260F9">
      <w:pPr>
        <w:jc w:val="both"/>
      </w:pPr>
      <w:r w:rsidRPr="4C9421B5">
        <w:rPr>
          <w:u w:val="single"/>
        </w:rPr>
        <w:t>Travel</w:t>
      </w:r>
      <w:r>
        <w:t xml:space="preserve">. Travel and travel expenses must meet the requirements of OAC 126-1-02 and 2 CFR 200.475 to be considered reimbursable. Mileage reimbursement shall be paid at the lesser of the established federal, state, or local rate. State mileage rates are updated quarterly and posted on the </w:t>
      </w:r>
      <w:r w:rsidRPr="00817CFA">
        <w:t xml:space="preserve">Ohio Office of </w:t>
      </w:r>
      <w:r w:rsidRPr="0017732F">
        <w:t>Budget and Management website</w:t>
      </w:r>
      <w:r>
        <w:t xml:space="preserve"> (</w:t>
      </w:r>
      <w:hyperlink r:id="rId7">
        <w:r w:rsidRPr="4C9421B5">
          <w:rPr>
            <w:rStyle w:val="Hyperlink"/>
          </w:rPr>
          <w:t>https://obm.ohio.gov/wps/portal/gov/obm/areas-of-interest/agency-overview/obm-travel-rule/obm-travel-rule</w:t>
        </w:r>
      </w:hyperlink>
      <w:r>
        <w:t>). The Department shall reimburse for actual travel expenditures, as allowable, based on the rates for lodging, per diems and meals as set by the federal General Service Administration (GSA).</w:t>
      </w:r>
    </w:p>
    <w:p w14:paraId="5FBD902A" w14:textId="77777777" w:rsidR="00F260F9" w:rsidRDefault="00F260F9" w:rsidP="00F260F9">
      <w:pPr>
        <w:jc w:val="both"/>
      </w:pPr>
      <w:r w:rsidRPr="0746BE2D">
        <w:rPr>
          <w:u w:val="single"/>
        </w:rPr>
        <w:t>Equipment</w:t>
      </w:r>
      <w:r>
        <w:t xml:space="preserve">. Equipment means an asset or tangible personal property, including information technology systems, having a useful life of more than one year and a per-unit acquisition cost which is greater than $5000. Any equipment purchased with Grant funds shall be acquired used, </w:t>
      </w:r>
      <w:proofErr w:type="gramStart"/>
      <w:r>
        <w:t>maintained</w:t>
      </w:r>
      <w:proofErr w:type="gramEnd"/>
      <w:r>
        <w:t xml:space="preserve"> and disposed of in accordance with 2 CFR 200.313. </w:t>
      </w:r>
    </w:p>
    <w:p w14:paraId="59106196" w14:textId="77777777" w:rsidR="00F260F9" w:rsidRPr="00194671" w:rsidRDefault="00F260F9" w:rsidP="00F260F9">
      <w:pPr>
        <w:jc w:val="both"/>
      </w:pPr>
      <w:r>
        <w:t xml:space="preserve">Equipment purchases made with this Grant shall be documented using the DODD Fixed Asset Schedule (Exhibit C), which shall be attached in GMS when requesting Grant funds for equipment expenses. Equipment in the schedule shall have a unique identifier (“Asset ID”), a description (“Asset Description”), the date the asset was purchased (“Acquisition Date”), the location of the asset (“Asset Location”), the useful life of the asset (“Useful Life”), and cost of the asset (“Total Cost”). “Total Cost” includes the total purchase price, net of purchase discounts, </w:t>
      </w:r>
      <w:r w:rsidRPr="53E34372">
        <w:rPr>
          <w:u w:val="single"/>
        </w:rPr>
        <w:t>plus</w:t>
      </w:r>
      <w:r>
        <w:t xml:space="preserve"> any trade-in allowances, transportation charges, installation costs, taxes, and any other costs required to prepare the asset for its intended use. </w:t>
      </w:r>
    </w:p>
    <w:p w14:paraId="1D193670" w14:textId="77777777" w:rsidR="00F260F9" w:rsidRDefault="00F260F9" w:rsidP="00F260F9">
      <w:pPr>
        <w:jc w:val="both"/>
      </w:pPr>
      <w:r w:rsidRPr="2A198B56">
        <w:rPr>
          <w:u w:val="single"/>
        </w:rPr>
        <w:t>Telecommunication Costs</w:t>
      </w:r>
      <w:r>
        <w:t>. In accordance with 2 CF</w:t>
      </w:r>
      <w:r w:rsidRPr="2A198B56">
        <w:t xml:space="preserve">R 200.471, costs incurred for telecommunications and video surveillance services or equipment such as phones, internet, video surveillance, and cloud servers are allowable with exceptions in accordance with 2 CFR 200.471(b) and 2 CFR 200.216. </w:t>
      </w:r>
    </w:p>
    <w:p w14:paraId="7588557B" w14:textId="77777777" w:rsidR="00F006FD" w:rsidRDefault="00F260F9" w:rsidP="00F006FD">
      <w:pPr>
        <w:jc w:val="both"/>
      </w:pPr>
      <w:r w:rsidRPr="009674A4">
        <w:rPr>
          <w:u w:val="single"/>
        </w:rPr>
        <w:t>Conferences and Meetings.</w:t>
      </w:r>
      <w:r w:rsidRPr="00BF66D4">
        <w:t xml:space="preserve"> Subrecipient will comply with the US Department of Education’s </w:t>
      </w:r>
      <w:r w:rsidRPr="007346C5">
        <w:t>Memorandum to ED Grantees</w:t>
      </w:r>
      <w:r w:rsidRPr="00BF66D4">
        <w:t xml:space="preserve"> Regarding the Use of Grant Funds for Conferences and Meetings</w:t>
      </w:r>
      <w:r>
        <w:t xml:space="preserve"> (Exhibit </w:t>
      </w:r>
      <w:r w:rsidR="00FE0F15">
        <w:t>G</w:t>
      </w:r>
      <w:r>
        <w:t>)</w:t>
      </w:r>
      <w:r w:rsidRPr="00BF66D4">
        <w:t>.</w:t>
      </w:r>
    </w:p>
    <w:p w14:paraId="0E48F8E0" w14:textId="70D34EF1" w:rsidR="00926220" w:rsidRPr="00F006FD" w:rsidRDefault="00DA4653" w:rsidP="00F006FD">
      <w:pPr>
        <w:jc w:val="both"/>
      </w:pPr>
      <w:r w:rsidRPr="7A47057C">
        <w:rPr>
          <w:rFonts w:asciiTheme="minorHAnsi" w:hAnsiTheme="minorHAnsi"/>
          <w:b/>
          <w:bCs/>
        </w:rPr>
        <w:lastRenderedPageBreak/>
        <w:t>Allowable Direct Cost Examples</w:t>
      </w:r>
    </w:p>
    <w:tbl>
      <w:tblPr>
        <w:tblStyle w:val="TableGrid1"/>
        <w:tblW w:w="10480" w:type="dxa"/>
        <w:tblInd w:w="-329" w:type="dxa"/>
        <w:tblCellMar>
          <w:top w:w="16" w:type="dxa"/>
          <w:left w:w="36" w:type="dxa"/>
          <w:bottom w:w="9" w:type="dxa"/>
          <w:right w:w="19" w:type="dxa"/>
        </w:tblCellMar>
        <w:tblLook w:val="04A0" w:firstRow="1" w:lastRow="0" w:firstColumn="1" w:lastColumn="0" w:noHBand="0" w:noVBand="1"/>
      </w:tblPr>
      <w:tblGrid>
        <w:gridCol w:w="916"/>
        <w:gridCol w:w="4073"/>
        <w:gridCol w:w="1561"/>
        <w:gridCol w:w="3930"/>
      </w:tblGrid>
      <w:tr w:rsidR="00926220" w:rsidRPr="002779F6" w14:paraId="33DEA593" w14:textId="77777777" w:rsidTr="002050B7">
        <w:trPr>
          <w:trHeight w:val="892"/>
        </w:trPr>
        <w:tc>
          <w:tcPr>
            <w:tcW w:w="760" w:type="dxa"/>
            <w:tcBorders>
              <w:top w:val="single" w:sz="15" w:space="0" w:color="000000" w:themeColor="text1"/>
              <w:left w:val="single" w:sz="15" w:space="0" w:color="000000" w:themeColor="text1"/>
              <w:bottom w:val="single" w:sz="15" w:space="0" w:color="000000" w:themeColor="text1"/>
              <w:right w:val="single" w:sz="8" w:space="0" w:color="000000" w:themeColor="text1"/>
            </w:tcBorders>
          </w:tcPr>
          <w:p w14:paraId="20806FCF" w14:textId="77777777" w:rsidR="00926220" w:rsidRPr="002779F6" w:rsidRDefault="002F0166">
            <w:pPr>
              <w:ind w:left="1"/>
              <w:rPr>
                <w:rFonts w:asciiTheme="minorHAnsi" w:hAnsiTheme="minorHAnsi"/>
              </w:rPr>
            </w:pPr>
            <w:r w:rsidRPr="002779F6">
              <w:rPr>
                <w:rFonts w:asciiTheme="minorHAnsi" w:hAnsiTheme="minorHAnsi"/>
                <w:b/>
              </w:rPr>
              <w:t xml:space="preserve">Uniform </w:t>
            </w:r>
          </w:p>
          <w:p w14:paraId="7A4E2825" w14:textId="77777777" w:rsidR="00926220" w:rsidRPr="002779F6" w:rsidRDefault="002F0166">
            <w:pPr>
              <w:ind w:left="1"/>
              <w:rPr>
                <w:rFonts w:asciiTheme="minorHAnsi" w:hAnsiTheme="minorHAnsi"/>
              </w:rPr>
            </w:pPr>
            <w:r w:rsidRPr="002779F6">
              <w:rPr>
                <w:rFonts w:asciiTheme="minorHAnsi" w:hAnsiTheme="minorHAnsi"/>
                <w:b/>
              </w:rPr>
              <w:t xml:space="preserve">Guidance </w:t>
            </w:r>
          </w:p>
          <w:p w14:paraId="23670C61" w14:textId="77777777" w:rsidR="00926220" w:rsidRPr="002779F6" w:rsidRDefault="002F0166">
            <w:pPr>
              <w:ind w:left="1"/>
              <w:rPr>
                <w:rFonts w:asciiTheme="minorHAnsi" w:hAnsiTheme="minorHAnsi"/>
              </w:rPr>
            </w:pPr>
            <w:r w:rsidRPr="002779F6">
              <w:rPr>
                <w:rFonts w:asciiTheme="minorHAnsi" w:hAnsiTheme="minorHAnsi"/>
                <w:b/>
              </w:rPr>
              <w:t xml:space="preserve">Section </w:t>
            </w:r>
          </w:p>
        </w:tc>
        <w:tc>
          <w:tcPr>
            <w:tcW w:w="4140"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43529F4F" w14:textId="77777777" w:rsidR="00926220" w:rsidRPr="002779F6" w:rsidRDefault="002F0166">
            <w:pPr>
              <w:ind w:left="2"/>
              <w:rPr>
                <w:rFonts w:asciiTheme="minorHAnsi" w:hAnsiTheme="minorHAnsi"/>
              </w:rPr>
            </w:pPr>
            <w:r w:rsidRPr="002779F6">
              <w:rPr>
                <w:rFonts w:asciiTheme="minorHAnsi" w:hAnsiTheme="minorHAnsi"/>
                <w:b/>
              </w:rPr>
              <w:t>Uniform Guidance Section Title</w:t>
            </w:r>
          </w:p>
        </w:tc>
        <w:tc>
          <w:tcPr>
            <w:tcW w:w="1576"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53B66AC5" w14:textId="13B5665B" w:rsidR="00926220" w:rsidRPr="002050B7" w:rsidRDefault="002F0166" w:rsidP="002050B7">
            <w:pPr>
              <w:ind w:left="2"/>
              <w:rPr>
                <w:rFonts w:asciiTheme="minorHAnsi" w:hAnsiTheme="minorHAnsi"/>
                <w:b/>
              </w:rPr>
            </w:pPr>
            <w:r w:rsidRPr="002779F6">
              <w:rPr>
                <w:rFonts w:asciiTheme="minorHAnsi" w:hAnsiTheme="minorHAnsi"/>
                <w:b/>
              </w:rPr>
              <w:t xml:space="preserve">Applicable </w:t>
            </w:r>
            <w:r w:rsidR="0002527A">
              <w:rPr>
                <w:rFonts w:asciiTheme="minorHAnsi" w:hAnsiTheme="minorHAnsi"/>
                <w:b/>
              </w:rPr>
              <w:t>GMS</w:t>
            </w:r>
            <w:r w:rsidR="0002527A" w:rsidRPr="002779F6">
              <w:rPr>
                <w:rFonts w:asciiTheme="minorHAnsi" w:hAnsiTheme="minorHAnsi"/>
                <w:b/>
              </w:rPr>
              <w:t xml:space="preserve"> </w:t>
            </w:r>
          </w:p>
          <w:p w14:paraId="182AF5F0" w14:textId="77777777" w:rsidR="00926220" w:rsidRPr="002779F6" w:rsidRDefault="002F0166">
            <w:pPr>
              <w:ind w:left="2"/>
              <w:jc w:val="both"/>
              <w:rPr>
                <w:rFonts w:asciiTheme="minorHAnsi" w:hAnsiTheme="minorHAnsi"/>
              </w:rPr>
            </w:pPr>
            <w:r w:rsidRPr="002779F6">
              <w:rPr>
                <w:rFonts w:asciiTheme="minorHAnsi" w:hAnsiTheme="minorHAnsi"/>
                <w:b/>
              </w:rPr>
              <w:t>Expense Category</w:t>
            </w:r>
          </w:p>
        </w:tc>
        <w:tc>
          <w:tcPr>
            <w:tcW w:w="4004" w:type="dxa"/>
            <w:tcBorders>
              <w:top w:val="single" w:sz="15" w:space="0" w:color="000000" w:themeColor="text1"/>
              <w:left w:val="single" w:sz="8" w:space="0" w:color="000000" w:themeColor="text1"/>
              <w:bottom w:val="single" w:sz="15" w:space="0" w:color="000000" w:themeColor="text1"/>
              <w:right w:val="single" w:sz="15" w:space="0" w:color="000000" w:themeColor="text1"/>
            </w:tcBorders>
            <w:vAlign w:val="bottom"/>
          </w:tcPr>
          <w:p w14:paraId="4329C105" w14:textId="77777777" w:rsidR="00926220" w:rsidRPr="002779F6" w:rsidRDefault="002F0166">
            <w:pPr>
              <w:ind w:left="2"/>
              <w:rPr>
                <w:rFonts w:asciiTheme="minorHAnsi" w:hAnsiTheme="minorHAnsi"/>
              </w:rPr>
            </w:pPr>
            <w:r w:rsidRPr="002779F6">
              <w:rPr>
                <w:rFonts w:asciiTheme="minorHAnsi" w:hAnsiTheme="minorHAnsi"/>
                <w:b/>
              </w:rPr>
              <w:t>Examples</w:t>
            </w:r>
          </w:p>
        </w:tc>
      </w:tr>
      <w:tr w:rsidR="00926220" w:rsidRPr="002779F6" w14:paraId="321141C2" w14:textId="77777777" w:rsidTr="002050B7">
        <w:trPr>
          <w:trHeight w:val="1666"/>
        </w:trPr>
        <w:tc>
          <w:tcPr>
            <w:tcW w:w="760" w:type="dxa"/>
            <w:tcBorders>
              <w:top w:val="single" w:sz="15" w:space="0" w:color="000000" w:themeColor="text1"/>
              <w:left w:val="single" w:sz="15" w:space="0" w:color="000000" w:themeColor="text1"/>
              <w:bottom w:val="single" w:sz="8" w:space="0" w:color="000000" w:themeColor="text1"/>
              <w:right w:val="single" w:sz="8" w:space="0" w:color="000000" w:themeColor="text1"/>
            </w:tcBorders>
            <w:vAlign w:val="bottom"/>
          </w:tcPr>
          <w:p w14:paraId="7F82BA30" w14:textId="77777777" w:rsidR="00926220" w:rsidRPr="002779F6" w:rsidRDefault="002F0166">
            <w:pPr>
              <w:ind w:left="1"/>
              <w:rPr>
                <w:rFonts w:asciiTheme="minorHAnsi" w:hAnsiTheme="minorHAnsi"/>
              </w:rPr>
            </w:pPr>
            <w:r w:rsidRPr="002779F6">
              <w:rPr>
                <w:rFonts w:asciiTheme="minorHAnsi" w:hAnsiTheme="minorHAnsi"/>
              </w:rPr>
              <w:t>200.421</w:t>
            </w:r>
          </w:p>
        </w:tc>
        <w:tc>
          <w:tcPr>
            <w:tcW w:w="4140"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52DAFB5" w14:textId="77777777" w:rsidR="00926220" w:rsidRPr="002779F6" w:rsidRDefault="002F0166">
            <w:pPr>
              <w:ind w:left="2"/>
              <w:rPr>
                <w:rFonts w:asciiTheme="minorHAnsi" w:hAnsiTheme="minorHAnsi"/>
              </w:rPr>
            </w:pPr>
            <w:r w:rsidRPr="002779F6">
              <w:rPr>
                <w:rFonts w:asciiTheme="minorHAnsi" w:hAnsiTheme="minorHAnsi"/>
              </w:rPr>
              <w:t>Advertising</w:t>
            </w:r>
          </w:p>
        </w:tc>
        <w:tc>
          <w:tcPr>
            <w:tcW w:w="1576"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4BA9EBA" w14:textId="77777777" w:rsidR="00926220" w:rsidRPr="002779F6" w:rsidRDefault="002F0166">
            <w:pPr>
              <w:ind w:left="2"/>
              <w:rPr>
                <w:rFonts w:asciiTheme="minorHAnsi" w:hAnsiTheme="minorHAnsi"/>
              </w:rPr>
            </w:pPr>
            <w:r w:rsidRPr="002779F6">
              <w:rPr>
                <w:rFonts w:asciiTheme="minorHAnsi" w:hAnsiTheme="minorHAnsi"/>
              </w:rPr>
              <w:t>Other</w:t>
            </w:r>
          </w:p>
        </w:tc>
        <w:tc>
          <w:tcPr>
            <w:tcW w:w="4004" w:type="dxa"/>
            <w:tcBorders>
              <w:top w:val="single" w:sz="15" w:space="0" w:color="000000" w:themeColor="text1"/>
              <w:left w:val="single" w:sz="8" w:space="0" w:color="000000" w:themeColor="text1"/>
              <w:bottom w:val="single" w:sz="8" w:space="0" w:color="000000" w:themeColor="text1"/>
              <w:right w:val="single" w:sz="15" w:space="0" w:color="000000" w:themeColor="text1"/>
            </w:tcBorders>
            <w:vAlign w:val="bottom"/>
          </w:tcPr>
          <w:p w14:paraId="16681599" w14:textId="6948B456" w:rsidR="00926220" w:rsidRPr="002779F6" w:rsidRDefault="002F0166" w:rsidP="00CE5AFF">
            <w:pPr>
              <w:ind w:left="2"/>
              <w:rPr>
                <w:rFonts w:asciiTheme="minorHAnsi" w:hAnsiTheme="minorHAnsi"/>
              </w:rPr>
            </w:pPr>
            <w:r w:rsidRPr="002779F6">
              <w:rPr>
                <w:rFonts w:asciiTheme="minorHAnsi" w:hAnsiTheme="minorHAnsi"/>
              </w:rPr>
              <w:t>Recruitment or procurement, such as running an ad to hire a service coordinator or evaluator.</w:t>
            </w:r>
            <w:r w:rsidR="003910D4">
              <w:rPr>
                <w:rFonts w:asciiTheme="minorHAnsi" w:hAnsiTheme="minorHAnsi"/>
              </w:rPr>
              <w:t xml:space="preserve"> Advertising for the purpose of </w:t>
            </w:r>
            <w:r w:rsidR="00CE5AFF">
              <w:rPr>
                <w:rFonts w:asciiTheme="minorHAnsi" w:hAnsiTheme="minorHAnsi"/>
              </w:rPr>
              <w:t>child find</w:t>
            </w:r>
            <w:r w:rsidR="003910D4">
              <w:rPr>
                <w:rFonts w:asciiTheme="minorHAnsi" w:hAnsiTheme="minorHAnsi"/>
              </w:rPr>
              <w:t xml:space="preserve"> is allowable.</w:t>
            </w:r>
            <w:r w:rsidRPr="002779F6">
              <w:rPr>
                <w:rFonts w:asciiTheme="minorHAnsi" w:hAnsiTheme="minorHAnsi"/>
              </w:rPr>
              <w:t xml:space="preserve"> Advertising for the purpose of central coordination activities is unallowable. </w:t>
            </w:r>
          </w:p>
        </w:tc>
      </w:tr>
      <w:tr w:rsidR="00926220" w:rsidRPr="002779F6" w14:paraId="77721543" w14:textId="77777777" w:rsidTr="002050B7">
        <w:trPr>
          <w:trHeight w:val="405"/>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B148BA3" w14:textId="77777777" w:rsidR="00926220" w:rsidRPr="002779F6" w:rsidRDefault="002F0166">
            <w:pPr>
              <w:ind w:left="1"/>
              <w:rPr>
                <w:rFonts w:asciiTheme="minorHAnsi" w:hAnsiTheme="minorHAnsi"/>
              </w:rPr>
            </w:pPr>
            <w:r w:rsidRPr="002779F6">
              <w:rPr>
                <w:rFonts w:asciiTheme="minorHAnsi" w:hAnsiTheme="minorHAnsi"/>
              </w:rPr>
              <w:t>200.430</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3DD617" w14:textId="498459A2" w:rsidR="00926220" w:rsidRPr="002779F6" w:rsidRDefault="002F0166" w:rsidP="7A47057C">
            <w:pPr>
              <w:ind w:left="2"/>
              <w:jc w:val="both"/>
              <w:rPr>
                <w:rFonts w:asciiTheme="minorHAnsi" w:hAnsiTheme="minorHAnsi"/>
              </w:rPr>
            </w:pPr>
            <w:r w:rsidRPr="7A47057C">
              <w:rPr>
                <w:rFonts w:asciiTheme="minorHAnsi" w:hAnsiTheme="minorHAnsi"/>
              </w:rPr>
              <w:t xml:space="preserve">Compensation </w:t>
            </w:r>
            <w:r w:rsidR="77307428" w:rsidRPr="7A47057C">
              <w:rPr>
                <w:rFonts w:asciiTheme="minorHAnsi" w:hAnsiTheme="minorHAnsi"/>
              </w:rPr>
              <w:t>-</w:t>
            </w:r>
            <w:r w:rsidRPr="7A47057C">
              <w:rPr>
                <w:rFonts w:asciiTheme="minorHAnsi" w:hAnsiTheme="minorHAnsi"/>
              </w:rPr>
              <w:t>Personal Services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4AFD15"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08DBE879" w14:textId="77777777" w:rsidR="00926220" w:rsidRPr="002779F6" w:rsidRDefault="002F0166">
            <w:pPr>
              <w:ind w:left="1"/>
              <w:rPr>
                <w:rFonts w:asciiTheme="minorHAnsi" w:hAnsiTheme="minorHAnsi"/>
              </w:rPr>
            </w:pPr>
            <w:r w:rsidRPr="002779F6">
              <w:rPr>
                <w:rFonts w:asciiTheme="minorHAnsi" w:hAnsiTheme="minorHAnsi"/>
              </w:rPr>
              <w:t>Salary</w:t>
            </w:r>
          </w:p>
        </w:tc>
      </w:tr>
      <w:tr w:rsidR="00926220" w:rsidRPr="002779F6" w14:paraId="0E18F610"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6EA6AB17" w14:textId="77777777" w:rsidR="00926220" w:rsidRPr="002779F6" w:rsidRDefault="002F0166">
            <w:pPr>
              <w:ind w:left="1"/>
              <w:rPr>
                <w:rFonts w:asciiTheme="minorHAnsi" w:hAnsiTheme="minorHAnsi"/>
              </w:rPr>
            </w:pPr>
            <w:r w:rsidRPr="002779F6">
              <w:rPr>
                <w:rFonts w:asciiTheme="minorHAnsi" w:hAnsiTheme="minorHAnsi"/>
              </w:rPr>
              <w:t>200.431</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E8606" w14:textId="40169711" w:rsidR="00926220" w:rsidRPr="002779F6" w:rsidRDefault="002F0166" w:rsidP="7A47057C">
            <w:pPr>
              <w:ind w:left="2"/>
              <w:rPr>
                <w:rFonts w:asciiTheme="minorHAnsi" w:hAnsiTheme="minorHAnsi"/>
              </w:rPr>
            </w:pPr>
            <w:r w:rsidRPr="7A47057C">
              <w:rPr>
                <w:rFonts w:asciiTheme="minorHAnsi" w:hAnsiTheme="minorHAnsi"/>
              </w:rPr>
              <w:t>Compensation ‐Fringe Benefits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8409C"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78395DB" w14:textId="77777777" w:rsidR="00926220" w:rsidRPr="002779F6" w:rsidRDefault="002F0166">
            <w:pPr>
              <w:ind w:left="1"/>
              <w:rPr>
                <w:rFonts w:asciiTheme="minorHAnsi" w:hAnsiTheme="minorHAnsi"/>
              </w:rPr>
            </w:pPr>
            <w:r w:rsidRPr="002779F6">
              <w:rPr>
                <w:rFonts w:asciiTheme="minorHAnsi" w:hAnsiTheme="minorHAnsi"/>
              </w:rPr>
              <w:t>Health Insurance</w:t>
            </w:r>
          </w:p>
        </w:tc>
      </w:tr>
      <w:tr w:rsidR="00926220" w:rsidRPr="002779F6" w14:paraId="15071292" w14:textId="77777777" w:rsidTr="002050B7">
        <w:trPr>
          <w:trHeight w:val="571"/>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EA46EE5" w14:textId="77777777" w:rsidR="00926220" w:rsidRPr="002779F6" w:rsidRDefault="002F0166">
            <w:pPr>
              <w:ind w:left="1"/>
              <w:rPr>
                <w:rFonts w:asciiTheme="minorHAnsi" w:hAnsiTheme="minorHAnsi"/>
              </w:rPr>
            </w:pPr>
            <w:r w:rsidRPr="002779F6">
              <w:rPr>
                <w:rFonts w:asciiTheme="minorHAnsi" w:hAnsiTheme="minorHAnsi"/>
              </w:rPr>
              <w:t>200.432</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3F320A" w14:textId="77777777" w:rsidR="00926220" w:rsidRPr="002779F6" w:rsidRDefault="002F0166">
            <w:pPr>
              <w:ind w:left="2"/>
              <w:rPr>
                <w:rFonts w:asciiTheme="minorHAnsi" w:hAnsiTheme="minorHAnsi"/>
              </w:rPr>
            </w:pPr>
            <w:r w:rsidRPr="002779F6">
              <w:rPr>
                <w:rFonts w:asciiTheme="minorHAnsi" w:hAnsiTheme="minorHAnsi"/>
              </w:rPr>
              <w:t>Conferences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6F845F" w14:textId="77777777" w:rsidR="00926220" w:rsidRPr="002779F6" w:rsidRDefault="002F0166">
            <w:pPr>
              <w:ind w:left="2"/>
              <w:rPr>
                <w:rFonts w:asciiTheme="minorHAnsi" w:hAnsiTheme="minorHAnsi"/>
              </w:rPr>
            </w:pPr>
            <w:r w:rsidRPr="002779F6">
              <w:rPr>
                <w:rFonts w:asciiTheme="minorHAnsi" w:hAnsiTheme="minorHAnsi"/>
              </w:rPr>
              <w:t xml:space="preserve">Other </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55360913" w14:textId="77777777" w:rsidR="00926220" w:rsidRPr="002779F6" w:rsidRDefault="002F0166">
            <w:pPr>
              <w:ind w:left="2"/>
              <w:rPr>
                <w:rFonts w:asciiTheme="minorHAnsi" w:hAnsiTheme="minorHAnsi"/>
              </w:rPr>
            </w:pPr>
            <w:r w:rsidRPr="002779F6">
              <w:rPr>
                <w:rFonts w:asciiTheme="minorHAnsi" w:hAnsiTheme="minorHAnsi"/>
              </w:rPr>
              <w:t>Conference fees for grant related professional development</w:t>
            </w:r>
          </w:p>
        </w:tc>
      </w:tr>
      <w:tr w:rsidR="00926220" w:rsidRPr="002779F6" w14:paraId="52E46868"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B601765" w14:textId="77777777" w:rsidR="00926220" w:rsidRPr="002779F6" w:rsidRDefault="002F0166">
            <w:pPr>
              <w:ind w:left="1"/>
              <w:rPr>
                <w:rFonts w:asciiTheme="minorHAnsi" w:hAnsiTheme="minorHAnsi"/>
              </w:rPr>
            </w:pPr>
            <w:r w:rsidRPr="002779F6">
              <w:rPr>
                <w:rFonts w:asciiTheme="minorHAnsi" w:hAnsiTheme="minorHAnsi"/>
              </w:rPr>
              <w:t>200.439</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E6BE9" w14:textId="77777777" w:rsidR="00926220" w:rsidRPr="002779F6" w:rsidRDefault="002F0166">
            <w:pPr>
              <w:ind w:left="2"/>
              <w:rPr>
                <w:rFonts w:asciiTheme="minorHAnsi" w:hAnsiTheme="minorHAnsi"/>
              </w:rPr>
            </w:pPr>
            <w:r w:rsidRPr="002779F6">
              <w:rPr>
                <w:rFonts w:asciiTheme="minorHAnsi" w:hAnsiTheme="minorHAnsi"/>
              </w:rPr>
              <w:t>Equipment</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EAAE6" w14:textId="77777777" w:rsidR="00926220" w:rsidRPr="002779F6" w:rsidRDefault="002F0166">
            <w:pPr>
              <w:ind w:left="1"/>
              <w:rPr>
                <w:rFonts w:asciiTheme="minorHAnsi" w:hAnsiTheme="minorHAnsi"/>
              </w:rPr>
            </w:pPr>
            <w:r w:rsidRPr="002779F6">
              <w:rPr>
                <w:rFonts w:asciiTheme="minorHAnsi" w:hAnsiTheme="minorHAnsi"/>
              </w:rPr>
              <w:t>Equipment</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045F30EB" w14:textId="77777777" w:rsidR="00926220" w:rsidRPr="002779F6" w:rsidRDefault="002F0166">
            <w:pPr>
              <w:ind w:left="1"/>
              <w:rPr>
                <w:rFonts w:asciiTheme="minorHAnsi" w:hAnsiTheme="minorHAnsi"/>
              </w:rPr>
            </w:pPr>
            <w:r w:rsidRPr="002779F6">
              <w:rPr>
                <w:rFonts w:asciiTheme="minorHAnsi" w:hAnsiTheme="minorHAnsi"/>
              </w:rPr>
              <w:t>Surface Pro with unit cost &gt;$1000</w:t>
            </w:r>
          </w:p>
        </w:tc>
      </w:tr>
      <w:tr w:rsidR="00926220" w:rsidRPr="002779F6" w14:paraId="564999D6"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1F865119" w14:textId="77777777" w:rsidR="00926220" w:rsidRPr="002779F6" w:rsidRDefault="002F0166">
            <w:pPr>
              <w:ind w:left="1"/>
              <w:rPr>
                <w:rFonts w:asciiTheme="minorHAnsi" w:hAnsiTheme="minorHAnsi"/>
              </w:rPr>
            </w:pPr>
            <w:r w:rsidRPr="002779F6">
              <w:rPr>
                <w:rFonts w:asciiTheme="minorHAnsi" w:hAnsiTheme="minorHAnsi"/>
              </w:rPr>
              <w:t>200.452</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1F476" w14:textId="77777777" w:rsidR="00926220" w:rsidRPr="002779F6" w:rsidRDefault="002F0166">
            <w:pPr>
              <w:ind w:left="2"/>
              <w:rPr>
                <w:rFonts w:asciiTheme="minorHAnsi" w:hAnsiTheme="minorHAnsi"/>
              </w:rPr>
            </w:pPr>
            <w:r w:rsidRPr="002779F6">
              <w:rPr>
                <w:rFonts w:asciiTheme="minorHAnsi" w:hAnsiTheme="minorHAnsi"/>
              </w:rPr>
              <w:t>Maintenance and repair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C3E8A" w14:textId="77777777" w:rsidR="00926220" w:rsidRPr="002779F6" w:rsidRDefault="002F0166">
            <w:pPr>
              <w:ind w:left="1"/>
              <w:rPr>
                <w:rFonts w:asciiTheme="minorHAnsi" w:hAnsiTheme="minorHAnsi"/>
              </w:rPr>
            </w:pPr>
            <w:r w:rsidRPr="002779F6">
              <w:rPr>
                <w:rFonts w:asciiTheme="minorHAnsi" w:hAnsiTheme="minorHAnsi"/>
              </w:rPr>
              <w:t>Other</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CA80EB8" w14:textId="77777777" w:rsidR="00926220" w:rsidRPr="002779F6" w:rsidRDefault="002F0166">
            <w:pPr>
              <w:ind w:left="1"/>
              <w:rPr>
                <w:rFonts w:asciiTheme="minorHAnsi" w:hAnsiTheme="minorHAnsi"/>
              </w:rPr>
            </w:pPr>
            <w:r w:rsidRPr="002779F6">
              <w:rPr>
                <w:rFonts w:asciiTheme="minorHAnsi" w:hAnsiTheme="minorHAnsi"/>
              </w:rPr>
              <w:t>Repairs to a grant funded Surface Pro</w:t>
            </w:r>
          </w:p>
        </w:tc>
      </w:tr>
      <w:tr w:rsidR="00926220" w:rsidRPr="002779F6" w14:paraId="4081FC03" w14:textId="77777777" w:rsidTr="002050B7">
        <w:trPr>
          <w:trHeight w:val="963"/>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09F7D48" w14:textId="77777777" w:rsidR="00926220" w:rsidRPr="002779F6" w:rsidRDefault="0D7B5237" w:rsidP="13419010">
            <w:pPr>
              <w:spacing w:line="259" w:lineRule="auto"/>
              <w:ind w:left="1"/>
              <w:rPr>
                <w:rFonts w:asciiTheme="minorHAnsi" w:hAnsiTheme="minorHAnsi"/>
              </w:rPr>
            </w:pPr>
            <w:r w:rsidRPr="13419010">
              <w:rPr>
                <w:rFonts w:asciiTheme="minorHAnsi" w:hAnsiTheme="minorHAnsi"/>
              </w:rPr>
              <w:t>200.453</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1962B7D" w14:textId="77777777" w:rsidR="00926220" w:rsidRPr="002779F6" w:rsidRDefault="002F0166" w:rsidP="1FAC8B10">
            <w:pPr>
              <w:spacing w:line="259" w:lineRule="auto"/>
              <w:ind w:left="2"/>
              <w:rPr>
                <w:rFonts w:asciiTheme="minorHAnsi" w:hAnsiTheme="minorHAnsi"/>
              </w:rPr>
            </w:pPr>
            <w:r w:rsidRPr="1FAC8B10">
              <w:rPr>
                <w:rFonts w:asciiTheme="minorHAnsi" w:hAnsiTheme="minorHAnsi"/>
              </w:rPr>
              <w:t>Materials and supplies costs, including costs of computing devices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C3371B" w14:textId="58DCCD60" w:rsidR="00926220" w:rsidRPr="002779F6" w:rsidRDefault="0D7B5237" w:rsidP="13419010">
            <w:pPr>
              <w:spacing w:line="259" w:lineRule="auto"/>
              <w:ind w:left="1"/>
              <w:rPr>
                <w:rFonts w:asciiTheme="minorHAnsi" w:hAnsiTheme="minorHAnsi"/>
              </w:rPr>
            </w:pPr>
            <w:r w:rsidRPr="13419010">
              <w:rPr>
                <w:rFonts w:asciiTheme="minorHAnsi" w:hAnsiTheme="minorHAnsi"/>
              </w:rPr>
              <w:t>Supplies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5B7A001" w14:textId="1D50B32B" w:rsidR="00926220" w:rsidRPr="002779F6" w:rsidRDefault="0D7B5237" w:rsidP="13419010">
            <w:pPr>
              <w:spacing w:line="259" w:lineRule="auto"/>
              <w:ind w:left="1"/>
              <w:rPr>
                <w:rFonts w:asciiTheme="minorHAnsi" w:hAnsiTheme="minorHAnsi"/>
              </w:rPr>
            </w:pPr>
            <w:r w:rsidRPr="13419010">
              <w:rPr>
                <w:rFonts w:asciiTheme="minorHAnsi" w:hAnsiTheme="minorHAnsi"/>
              </w:rPr>
              <w:t xml:space="preserve">Paper, booklets, iPads, </w:t>
            </w:r>
            <w:r w:rsidR="53E160E4" w:rsidRPr="13419010">
              <w:rPr>
                <w:rFonts w:asciiTheme="minorHAnsi" w:hAnsiTheme="minorHAnsi"/>
              </w:rPr>
              <w:t xml:space="preserve">laptops, </w:t>
            </w:r>
            <w:r w:rsidRPr="13419010">
              <w:rPr>
                <w:rFonts w:asciiTheme="minorHAnsi" w:hAnsiTheme="minorHAnsi"/>
              </w:rPr>
              <w:t>where per unit cost is &lt;$1000</w:t>
            </w:r>
            <w:r w:rsidR="29EAACC4" w:rsidRPr="13419010">
              <w:rPr>
                <w:rFonts w:asciiTheme="minorHAnsi" w:hAnsiTheme="minorHAnsi"/>
              </w:rPr>
              <w:t xml:space="preserve">, </w:t>
            </w:r>
            <w:proofErr w:type="gramStart"/>
            <w:r w:rsidR="29EAACC4" w:rsidRPr="13419010">
              <w:rPr>
                <w:rFonts w:asciiTheme="minorHAnsi" w:hAnsiTheme="minorHAnsi"/>
              </w:rPr>
              <w:t>Battelle</w:t>
            </w:r>
            <w:proofErr w:type="gramEnd"/>
            <w:r w:rsidR="29EAACC4" w:rsidRPr="13419010">
              <w:rPr>
                <w:rFonts w:asciiTheme="minorHAnsi" w:hAnsiTheme="minorHAnsi"/>
              </w:rPr>
              <w:t xml:space="preserve"> and Bayley evaluation materials</w:t>
            </w:r>
          </w:p>
        </w:tc>
      </w:tr>
      <w:tr w:rsidR="00926220" w:rsidRPr="002779F6" w14:paraId="1BF99BD1" w14:textId="77777777" w:rsidTr="002050B7">
        <w:trPr>
          <w:trHeight w:val="857"/>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5ADDB07" w14:textId="77777777" w:rsidR="00926220" w:rsidRPr="002779F6" w:rsidRDefault="002F0166">
            <w:pPr>
              <w:ind w:left="1"/>
              <w:rPr>
                <w:rFonts w:asciiTheme="minorHAnsi" w:hAnsiTheme="minorHAnsi"/>
              </w:rPr>
            </w:pPr>
            <w:r w:rsidRPr="002779F6">
              <w:rPr>
                <w:rFonts w:asciiTheme="minorHAnsi" w:hAnsiTheme="minorHAnsi"/>
              </w:rPr>
              <w:t>200.454</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9B87084" w14:textId="77777777" w:rsidR="00926220" w:rsidRPr="002779F6" w:rsidRDefault="002F0166">
            <w:pPr>
              <w:ind w:left="1"/>
              <w:rPr>
                <w:rFonts w:asciiTheme="minorHAnsi" w:hAnsiTheme="minorHAnsi"/>
              </w:rPr>
            </w:pPr>
            <w:r w:rsidRPr="002779F6">
              <w:rPr>
                <w:rFonts w:asciiTheme="minorHAnsi" w:hAnsiTheme="minorHAnsi"/>
              </w:rPr>
              <w:t xml:space="preserve">Memberships, </w:t>
            </w:r>
            <w:proofErr w:type="gramStart"/>
            <w:r w:rsidRPr="002779F6">
              <w:rPr>
                <w:rFonts w:asciiTheme="minorHAnsi" w:hAnsiTheme="minorHAnsi"/>
              </w:rPr>
              <w:t>subscriptions</w:t>
            </w:r>
            <w:proofErr w:type="gramEnd"/>
            <w:r w:rsidRPr="002779F6">
              <w:rPr>
                <w:rFonts w:asciiTheme="minorHAnsi" w:hAnsiTheme="minorHAnsi"/>
              </w:rPr>
              <w:t xml:space="preserve"> and professional activity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C12AAF" w14:textId="77777777" w:rsidR="00926220" w:rsidRPr="002779F6" w:rsidRDefault="002F0166">
            <w:pPr>
              <w:ind w:left="1"/>
              <w:rPr>
                <w:rFonts w:asciiTheme="minorHAnsi" w:hAnsiTheme="minorHAnsi"/>
              </w:rPr>
            </w:pPr>
            <w:r w:rsidRPr="002779F6">
              <w:rPr>
                <w:rFonts w:asciiTheme="minorHAnsi" w:hAnsiTheme="minorHAnsi"/>
              </w:rPr>
              <w:t>Other</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248F2DEE" w14:textId="77777777" w:rsidR="00926220" w:rsidRPr="002779F6" w:rsidRDefault="002F0166">
            <w:pPr>
              <w:ind w:left="2"/>
              <w:rPr>
                <w:rFonts w:asciiTheme="minorHAnsi" w:hAnsiTheme="minorHAnsi"/>
              </w:rPr>
            </w:pPr>
            <w:r w:rsidRPr="002779F6">
              <w:rPr>
                <w:rFonts w:asciiTheme="minorHAnsi" w:hAnsiTheme="minorHAnsi"/>
              </w:rPr>
              <w:t xml:space="preserve">Professional certifications such as </w:t>
            </w:r>
          </w:p>
          <w:p w14:paraId="23E1B956" w14:textId="77777777" w:rsidR="00926220" w:rsidRPr="002779F6" w:rsidRDefault="002F0166">
            <w:pPr>
              <w:ind w:left="2"/>
              <w:rPr>
                <w:rFonts w:asciiTheme="minorHAnsi" w:hAnsiTheme="minorHAnsi"/>
              </w:rPr>
            </w:pPr>
            <w:r w:rsidRPr="002779F6">
              <w:rPr>
                <w:rFonts w:asciiTheme="minorHAnsi" w:hAnsiTheme="minorHAnsi"/>
              </w:rPr>
              <w:t xml:space="preserve">Division of Early Childhood, Infant &amp; </w:t>
            </w:r>
          </w:p>
          <w:p w14:paraId="258FE2B9" w14:textId="69D779A9" w:rsidR="00926220" w:rsidRPr="002779F6" w:rsidRDefault="002F0166" w:rsidP="1FAC8B10">
            <w:pPr>
              <w:rPr>
                <w:rFonts w:asciiTheme="minorHAnsi" w:hAnsiTheme="minorHAnsi"/>
              </w:rPr>
            </w:pPr>
            <w:r w:rsidRPr="1FAC8B10">
              <w:rPr>
                <w:rFonts w:asciiTheme="minorHAnsi" w:hAnsiTheme="minorHAnsi"/>
              </w:rPr>
              <w:t>Child Journals</w:t>
            </w:r>
            <w:r w:rsidR="4DAB5B22" w:rsidRPr="1FAC8B10">
              <w:rPr>
                <w:rFonts w:asciiTheme="minorHAnsi" w:hAnsiTheme="minorHAnsi"/>
              </w:rPr>
              <w:t xml:space="preserve">, </w:t>
            </w:r>
            <w:proofErr w:type="gramStart"/>
            <w:r w:rsidR="1FAC8B10" w:rsidRPr="1FAC8B10">
              <w:rPr>
                <w:rFonts w:asciiTheme="minorHAnsi" w:hAnsiTheme="minorHAnsi"/>
              </w:rPr>
              <w:t>Battelle</w:t>
            </w:r>
            <w:proofErr w:type="gramEnd"/>
            <w:r w:rsidR="1FAC8B10" w:rsidRPr="1FAC8B10">
              <w:rPr>
                <w:rFonts w:asciiTheme="minorHAnsi" w:hAnsiTheme="minorHAnsi"/>
              </w:rPr>
              <w:t xml:space="preserve"> and Bayley</w:t>
            </w:r>
            <w:r w:rsidR="6DCC26E1" w:rsidRPr="1FAC8B10">
              <w:rPr>
                <w:rFonts w:asciiTheme="minorHAnsi" w:hAnsiTheme="minorHAnsi"/>
              </w:rPr>
              <w:t xml:space="preserve"> subscriptions</w:t>
            </w:r>
          </w:p>
        </w:tc>
      </w:tr>
      <w:tr w:rsidR="00926220" w:rsidRPr="002779F6" w14:paraId="3CDDDCA2" w14:textId="77777777" w:rsidTr="002050B7">
        <w:trPr>
          <w:trHeight w:val="571"/>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1DB54C7" w14:textId="77777777" w:rsidR="00926220" w:rsidRPr="002779F6" w:rsidRDefault="002F0166">
            <w:pPr>
              <w:ind w:left="1"/>
              <w:rPr>
                <w:rFonts w:asciiTheme="minorHAnsi" w:hAnsiTheme="minorHAnsi"/>
              </w:rPr>
            </w:pPr>
            <w:r w:rsidRPr="002779F6">
              <w:rPr>
                <w:rFonts w:asciiTheme="minorHAnsi" w:hAnsiTheme="minorHAnsi"/>
              </w:rPr>
              <w:t>200.456</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502471" w14:textId="77777777" w:rsidR="00926220" w:rsidRPr="002779F6" w:rsidRDefault="002F0166">
            <w:pPr>
              <w:ind w:left="2"/>
              <w:rPr>
                <w:rFonts w:asciiTheme="minorHAnsi" w:hAnsiTheme="minorHAnsi"/>
              </w:rPr>
            </w:pPr>
            <w:r w:rsidRPr="002779F6">
              <w:rPr>
                <w:rFonts w:asciiTheme="minorHAnsi" w:hAnsiTheme="minorHAnsi"/>
              </w:rPr>
              <w:t>Participant Support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92EE33" w14:textId="77777777" w:rsidR="00926220" w:rsidRPr="002779F6" w:rsidRDefault="002F0166">
            <w:pPr>
              <w:ind w:left="1"/>
              <w:rPr>
                <w:rFonts w:asciiTheme="minorHAnsi" w:hAnsiTheme="minorHAnsi"/>
              </w:rPr>
            </w:pPr>
            <w:r w:rsidRPr="002779F6">
              <w:rPr>
                <w:rFonts w:asciiTheme="minorHAnsi" w:hAnsiTheme="minorHAnsi"/>
              </w:rPr>
              <w:t>Client Expense</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3EC8EAA0" w14:textId="77777777" w:rsidR="00926220" w:rsidRPr="002779F6" w:rsidRDefault="002F0166">
            <w:pPr>
              <w:ind w:left="2"/>
              <w:rPr>
                <w:rFonts w:asciiTheme="minorHAnsi" w:hAnsiTheme="minorHAnsi"/>
              </w:rPr>
            </w:pPr>
            <w:r w:rsidRPr="002779F6">
              <w:rPr>
                <w:rFonts w:asciiTheme="minorHAnsi" w:hAnsiTheme="minorHAnsi"/>
              </w:rPr>
              <w:t>Transportation cost for family to see an audiologist</w:t>
            </w:r>
          </w:p>
        </w:tc>
      </w:tr>
      <w:tr w:rsidR="00926220" w:rsidRPr="002779F6" w14:paraId="704BB158" w14:textId="77777777" w:rsidTr="002050B7">
        <w:trPr>
          <w:trHeight w:val="571"/>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26660AE5" w14:textId="77777777" w:rsidR="00926220" w:rsidRPr="002779F6" w:rsidRDefault="002F0166">
            <w:pPr>
              <w:ind w:left="1"/>
              <w:rPr>
                <w:rFonts w:asciiTheme="minorHAnsi" w:hAnsiTheme="minorHAnsi"/>
              </w:rPr>
            </w:pPr>
            <w:r w:rsidRPr="002779F6">
              <w:rPr>
                <w:rFonts w:asciiTheme="minorHAnsi" w:hAnsiTheme="minorHAnsi"/>
              </w:rPr>
              <w:t>200.459</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BCB714" w14:textId="77777777" w:rsidR="00926220" w:rsidRPr="002779F6" w:rsidRDefault="002F0166">
            <w:pPr>
              <w:ind w:left="2"/>
              <w:rPr>
                <w:rFonts w:asciiTheme="minorHAnsi" w:hAnsiTheme="minorHAnsi"/>
              </w:rPr>
            </w:pPr>
            <w:r w:rsidRPr="002779F6">
              <w:rPr>
                <w:rFonts w:asciiTheme="minorHAnsi" w:hAnsiTheme="minorHAnsi"/>
              </w:rPr>
              <w:t>Professional Service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C84378" w14:textId="77777777" w:rsidR="00926220" w:rsidRPr="002779F6" w:rsidRDefault="002F0166">
            <w:pPr>
              <w:ind w:left="1"/>
              <w:rPr>
                <w:rFonts w:asciiTheme="minorHAnsi" w:hAnsiTheme="minorHAnsi"/>
              </w:rPr>
            </w:pPr>
            <w:r w:rsidRPr="002779F6">
              <w:rPr>
                <w:rFonts w:asciiTheme="minorHAnsi" w:hAnsiTheme="minorHAnsi"/>
              </w:rPr>
              <w:t>Contracts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42D13E31" w14:textId="4909298D" w:rsidR="00926220" w:rsidRPr="002779F6" w:rsidRDefault="002F0166">
            <w:pPr>
              <w:ind w:left="2"/>
              <w:rPr>
                <w:rFonts w:asciiTheme="minorHAnsi" w:hAnsiTheme="minorHAnsi"/>
              </w:rPr>
            </w:pPr>
            <w:r w:rsidRPr="002779F6">
              <w:rPr>
                <w:rFonts w:asciiTheme="minorHAnsi" w:hAnsiTheme="minorHAnsi"/>
              </w:rPr>
              <w:t>Service coordination contracts, interpreters</w:t>
            </w:r>
            <w:r w:rsidR="00CE5AFF">
              <w:rPr>
                <w:rFonts w:asciiTheme="minorHAnsi" w:hAnsiTheme="minorHAnsi"/>
              </w:rPr>
              <w:t xml:space="preserve"> to support the provision of the services provided in accordance with this Agreement</w:t>
            </w:r>
          </w:p>
        </w:tc>
      </w:tr>
      <w:tr w:rsidR="00926220" w:rsidRPr="002779F6" w14:paraId="28D9D3D7"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2DF6B1E" w14:textId="77777777" w:rsidR="00926220" w:rsidRPr="002779F6" w:rsidRDefault="002F0166">
            <w:pPr>
              <w:ind w:left="1"/>
              <w:rPr>
                <w:rFonts w:asciiTheme="minorHAnsi" w:hAnsiTheme="minorHAnsi"/>
              </w:rPr>
            </w:pPr>
            <w:r w:rsidRPr="002779F6">
              <w:rPr>
                <w:rFonts w:asciiTheme="minorHAnsi" w:hAnsiTheme="minorHAnsi"/>
              </w:rPr>
              <w:t>200.461</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D11F9" w14:textId="77777777" w:rsidR="00926220" w:rsidRPr="002779F6" w:rsidRDefault="002F0166">
            <w:pPr>
              <w:ind w:left="2"/>
              <w:rPr>
                <w:rFonts w:asciiTheme="minorHAnsi" w:hAnsiTheme="minorHAnsi"/>
              </w:rPr>
            </w:pPr>
            <w:r w:rsidRPr="002779F6">
              <w:rPr>
                <w:rFonts w:asciiTheme="minorHAnsi" w:hAnsiTheme="minorHAnsi"/>
              </w:rPr>
              <w:t>Publication and printing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084" w14:textId="77777777" w:rsidR="00926220" w:rsidRPr="002779F6" w:rsidRDefault="002F0166">
            <w:pPr>
              <w:rPr>
                <w:rFonts w:asciiTheme="minorHAnsi" w:hAnsiTheme="minorHAnsi"/>
              </w:rPr>
            </w:pPr>
            <w:r w:rsidRPr="002779F6">
              <w:rPr>
                <w:rFonts w:asciiTheme="minorHAnsi" w:hAnsiTheme="minorHAnsi"/>
              </w:rPr>
              <w:t>Supplies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1B4E6087" w14:textId="77777777" w:rsidR="00926220" w:rsidRPr="002779F6" w:rsidRDefault="002F0166">
            <w:pPr>
              <w:rPr>
                <w:rFonts w:asciiTheme="minorHAnsi" w:hAnsiTheme="minorHAnsi"/>
              </w:rPr>
            </w:pPr>
            <w:r w:rsidRPr="002779F6">
              <w:rPr>
                <w:rFonts w:asciiTheme="minorHAnsi" w:hAnsiTheme="minorHAnsi"/>
              </w:rPr>
              <w:t>Printing</w:t>
            </w:r>
          </w:p>
        </w:tc>
      </w:tr>
      <w:tr w:rsidR="00926220" w:rsidRPr="002779F6" w14:paraId="5A6F405C"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7A0ACCE" w14:textId="77777777" w:rsidR="00926220" w:rsidRPr="002779F6" w:rsidRDefault="002F0166">
            <w:pPr>
              <w:ind w:left="1"/>
              <w:rPr>
                <w:rFonts w:asciiTheme="minorHAnsi" w:hAnsiTheme="minorHAnsi"/>
              </w:rPr>
            </w:pPr>
            <w:r w:rsidRPr="002779F6">
              <w:rPr>
                <w:rFonts w:asciiTheme="minorHAnsi" w:hAnsiTheme="minorHAnsi"/>
              </w:rPr>
              <w:t>200.463</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4289" w14:textId="77777777" w:rsidR="00926220" w:rsidRPr="002779F6" w:rsidRDefault="002F0166">
            <w:pPr>
              <w:ind w:left="2"/>
              <w:rPr>
                <w:rFonts w:asciiTheme="minorHAnsi" w:hAnsiTheme="minorHAnsi"/>
              </w:rPr>
            </w:pPr>
            <w:r w:rsidRPr="002779F6">
              <w:rPr>
                <w:rFonts w:asciiTheme="minorHAnsi" w:hAnsiTheme="minorHAnsi"/>
              </w:rPr>
              <w:t>Recruiting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F6A99" w14:textId="77777777" w:rsidR="00926220" w:rsidRPr="002779F6" w:rsidRDefault="002F0166">
            <w:pPr>
              <w:ind w:left="1"/>
              <w:rPr>
                <w:rFonts w:asciiTheme="minorHAnsi" w:hAnsiTheme="minorHAnsi"/>
              </w:rPr>
            </w:pPr>
            <w:r w:rsidRPr="002779F6">
              <w:rPr>
                <w:rFonts w:asciiTheme="minorHAnsi" w:hAnsiTheme="minorHAnsi"/>
              </w:rPr>
              <w:t>Other</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DF9278D" w14:textId="77777777" w:rsidR="00926220" w:rsidRPr="002779F6" w:rsidRDefault="002F0166">
            <w:pPr>
              <w:ind w:left="1"/>
              <w:rPr>
                <w:rFonts w:asciiTheme="minorHAnsi" w:hAnsiTheme="minorHAnsi"/>
              </w:rPr>
            </w:pPr>
            <w:r w:rsidRPr="002779F6">
              <w:rPr>
                <w:rFonts w:asciiTheme="minorHAnsi" w:hAnsiTheme="minorHAnsi"/>
              </w:rPr>
              <w:t>Advertisement to recruit staff</w:t>
            </w:r>
          </w:p>
        </w:tc>
      </w:tr>
      <w:tr w:rsidR="00926220" w:rsidRPr="002779F6" w14:paraId="531A30A5"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1BA0930F" w14:textId="3D3C80EC" w:rsidR="00926220" w:rsidRPr="002779F6" w:rsidRDefault="0D7B5237" w:rsidP="13419010">
            <w:pPr>
              <w:ind w:left="1"/>
              <w:rPr>
                <w:rFonts w:asciiTheme="minorHAnsi" w:hAnsiTheme="minorHAnsi"/>
              </w:rPr>
            </w:pPr>
            <w:r w:rsidRPr="13419010">
              <w:rPr>
                <w:rFonts w:asciiTheme="minorHAnsi" w:hAnsiTheme="minorHAnsi"/>
              </w:rPr>
              <w:t>200.47</w:t>
            </w:r>
            <w:r w:rsidR="6D48B453" w:rsidRPr="13419010">
              <w:rPr>
                <w:rFonts w:asciiTheme="minorHAnsi" w:hAnsiTheme="minorHAnsi"/>
              </w:rPr>
              <w:t>1</w:t>
            </w:r>
          </w:p>
          <w:p w14:paraId="7904F83D" w14:textId="50B730B2" w:rsidR="00926220" w:rsidRPr="002779F6" w:rsidRDefault="00926220" w:rsidP="13419010">
            <w:pPr>
              <w:ind w:left="1"/>
              <w:rPr>
                <w:rFonts w:asciiTheme="minorHAnsi" w:hAnsiTheme="minorHAnsi"/>
              </w:rPr>
            </w:pP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3EF429" w14:textId="047B772E" w:rsidR="00926220" w:rsidRPr="002779F6" w:rsidRDefault="5747C57A" w:rsidP="7A47057C">
            <w:pPr>
              <w:spacing w:line="259" w:lineRule="auto"/>
              <w:ind w:left="2"/>
              <w:rPr>
                <w:rFonts w:asciiTheme="minorHAnsi" w:hAnsiTheme="minorHAnsi"/>
              </w:rPr>
            </w:pPr>
            <w:r w:rsidRPr="13419010">
              <w:rPr>
                <w:rFonts w:asciiTheme="minorHAnsi" w:hAnsiTheme="minorHAnsi"/>
              </w:rPr>
              <w:t>Telecommunication costs and video surveillance</w:t>
            </w:r>
            <w:r w:rsidR="40089013" w:rsidRPr="13419010">
              <w:rPr>
                <w:rFonts w:asciiTheme="minorHAnsi" w:hAnsiTheme="minorHAnsi"/>
              </w:rPr>
              <w:t xml:space="preserve"> </w:t>
            </w:r>
          </w:p>
          <w:p w14:paraId="4EB42ECD" w14:textId="65CD4925" w:rsidR="00926220" w:rsidRPr="002779F6" w:rsidRDefault="40089013" w:rsidP="7A47057C">
            <w:pPr>
              <w:spacing w:line="259" w:lineRule="auto"/>
              <w:ind w:left="2"/>
              <w:rPr>
                <w:rFonts w:asciiTheme="minorHAnsi" w:hAnsiTheme="minorHAnsi"/>
              </w:rPr>
            </w:pPr>
            <w:r w:rsidRPr="13419010">
              <w:rPr>
                <w:rFonts w:asciiTheme="minorHAnsi" w:hAnsiTheme="minorHAnsi"/>
              </w:rPr>
              <w:t>Exceptions to these allowable costs are found in 2 CFR 200.216</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D138A5" w14:textId="77777777" w:rsidR="00926220" w:rsidRPr="002779F6" w:rsidRDefault="4041B899" w:rsidP="13419010">
            <w:pPr>
              <w:spacing w:line="259" w:lineRule="auto"/>
              <w:ind w:left="1"/>
              <w:rPr>
                <w:rFonts w:asciiTheme="minorHAnsi" w:hAnsiTheme="minorHAnsi"/>
              </w:rPr>
            </w:pPr>
            <w:r w:rsidRPr="13419010">
              <w:rPr>
                <w:rFonts w:asciiTheme="minorHAnsi" w:hAnsiTheme="minorHAnsi"/>
              </w:rPr>
              <w:t xml:space="preserve">Utilities/ Phone </w:t>
            </w:r>
          </w:p>
          <w:p w14:paraId="71744503" w14:textId="4147F85B" w:rsidR="00926220" w:rsidRPr="002779F6" w:rsidRDefault="4041B899" w:rsidP="13419010">
            <w:pPr>
              <w:spacing w:line="259" w:lineRule="auto"/>
              <w:ind w:left="1"/>
              <w:rPr>
                <w:rFonts w:asciiTheme="minorHAnsi" w:hAnsiTheme="minorHAnsi"/>
              </w:rPr>
            </w:pPr>
            <w:r w:rsidRPr="13419010">
              <w:rPr>
                <w:rFonts w:asciiTheme="minorHAnsi" w:hAnsiTheme="minorHAnsi"/>
              </w:rPr>
              <w:t>Service</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4887C6D" w14:textId="1AB8C0AE" w:rsidR="00926220" w:rsidRPr="002779F6" w:rsidRDefault="2C74E0B4" w:rsidP="13419010">
            <w:pPr>
              <w:ind w:left="1"/>
              <w:rPr>
                <w:rFonts w:asciiTheme="minorHAnsi" w:hAnsiTheme="minorHAnsi"/>
              </w:rPr>
            </w:pPr>
            <w:r w:rsidRPr="13419010">
              <w:rPr>
                <w:rFonts w:asciiTheme="minorHAnsi" w:hAnsiTheme="minorHAnsi"/>
              </w:rPr>
              <w:t>Phones, internet</w:t>
            </w:r>
            <w:r w:rsidR="66F4D3E3" w:rsidRPr="13419010">
              <w:rPr>
                <w:rFonts w:asciiTheme="minorHAnsi" w:hAnsiTheme="minorHAnsi"/>
              </w:rPr>
              <w:t xml:space="preserve"> &amp; cell phone service</w:t>
            </w:r>
          </w:p>
        </w:tc>
      </w:tr>
      <w:tr w:rsidR="7A47057C" w14:paraId="7EDEA909"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06E0D332" w14:textId="2D6C0FC8" w:rsidR="31D61953" w:rsidRDefault="31D61953" w:rsidP="7A47057C">
            <w:pPr>
              <w:rPr>
                <w:rFonts w:asciiTheme="minorHAnsi" w:hAnsiTheme="minorHAnsi"/>
              </w:rPr>
            </w:pPr>
            <w:r w:rsidRPr="7A47057C">
              <w:rPr>
                <w:rFonts w:asciiTheme="minorHAnsi" w:hAnsiTheme="minorHAnsi"/>
              </w:rPr>
              <w:t>200.473</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5AC30" w14:textId="77777777" w:rsidR="7A47057C" w:rsidRDefault="7A47057C" w:rsidP="7A47057C">
            <w:pPr>
              <w:ind w:left="2"/>
              <w:rPr>
                <w:rFonts w:asciiTheme="minorHAnsi" w:hAnsiTheme="minorHAnsi"/>
              </w:rPr>
            </w:pPr>
            <w:r w:rsidRPr="7A47057C">
              <w:rPr>
                <w:rFonts w:asciiTheme="minorHAnsi" w:hAnsiTheme="minorHAnsi"/>
              </w:rPr>
              <w:t>Training and education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383C5" w14:textId="77777777" w:rsidR="7A47057C" w:rsidRDefault="7A47057C" w:rsidP="7A47057C">
            <w:pPr>
              <w:ind w:left="1"/>
              <w:rPr>
                <w:rFonts w:asciiTheme="minorHAnsi" w:hAnsiTheme="minorHAnsi"/>
              </w:rPr>
            </w:pPr>
            <w:r w:rsidRPr="7A47057C">
              <w:rPr>
                <w:rFonts w:asciiTheme="minorHAnsi" w:hAnsiTheme="minorHAnsi"/>
              </w:rPr>
              <w:t>Training</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3379161" w14:textId="77777777" w:rsidR="7A47057C" w:rsidRDefault="7A47057C" w:rsidP="7A47057C">
            <w:pPr>
              <w:ind w:left="1"/>
              <w:rPr>
                <w:rFonts w:asciiTheme="minorHAnsi" w:hAnsiTheme="minorHAnsi"/>
              </w:rPr>
            </w:pPr>
            <w:r w:rsidRPr="7A47057C">
              <w:rPr>
                <w:rFonts w:asciiTheme="minorHAnsi" w:hAnsiTheme="minorHAnsi"/>
              </w:rPr>
              <w:t>Dr. Solomon's P.L.A.Y training</w:t>
            </w:r>
          </w:p>
        </w:tc>
      </w:tr>
      <w:tr w:rsidR="00926220" w:rsidRPr="002779F6" w14:paraId="2CE5992B"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EC91BFC" w14:textId="66460AB6" w:rsidR="00926220" w:rsidRPr="002779F6" w:rsidRDefault="002F0166" w:rsidP="7A47057C">
            <w:pPr>
              <w:ind w:left="1"/>
              <w:rPr>
                <w:rFonts w:asciiTheme="minorHAnsi" w:hAnsiTheme="minorHAnsi"/>
              </w:rPr>
            </w:pPr>
            <w:r w:rsidRPr="7A47057C">
              <w:rPr>
                <w:rFonts w:asciiTheme="minorHAnsi" w:hAnsiTheme="minorHAnsi"/>
              </w:rPr>
              <w:t>200.47</w:t>
            </w:r>
            <w:r w:rsidR="04DF9146" w:rsidRPr="7A47057C">
              <w:rPr>
                <w:rFonts w:asciiTheme="minorHAnsi" w:hAnsiTheme="minorHAnsi"/>
              </w:rPr>
              <w:t>4</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3578E" w14:textId="77777777" w:rsidR="00926220" w:rsidRPr="002779F6" w:rsidRDefault="002F0166">
            <w:pPr>
              <w:ind w:left="2"/>
              <w:rPr>
                <w:rFonts w:asciiTheme="minorHAnsi" w:hAnsiTheme="minorHAnsi"/>
              </w:rPr>
            </w:pPr>
            <w:r w:rsidRPr="002779F6">
              <w:rPr>
                <w:rFonts w:asciiTheme="minorHAnsi" w:hAnsiTheme="minorHAnsi"/>
              </w:rPr>
              <w:t>Transportation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2C797" w14:textId="77777777" w:rsidR="00926220" w:rsidRPr="002779F6" w:rsidRDefault="002F0166">
            <w:pPr>
              <w:ind w:left="1"/>
              <w:rPr>
                <w:rFonts w:asciiTheme="minorHAnsi" w:hAnsiTheme="minorHAnsi"/>
              </w:rPr>
            </w:pPr>
            <w:r w:rsidRPr="002779F6">
              <w:rPr>
                <w:rFonts w:asciiTheme="minorHAnsi" w:hAnsiTheme="minorHAnsi"/>
              </w:rPr>
              <w:t>Supplies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22FBFFF" w14:textId="77777777" w:rsidR="00926220" w:rsidRPr="002779F6" w:rsidRDefault="002F0166">
            <w:pPr>
              <w:ind w:left="1"/>
              <w:rPr>
                <w:rFonts w:asciiTheme="minorHAnsi" w:hAnsiTheme="minorHAnsi"/>
              </w:rPr>
            </w:pPr>
            <w:r w:rsidRPr="002779F6">
              <w:rPr>
                <w:rFonts w:asciiTheme="minorHAnsi" w:hAnsiTheme="minorHAnsi"/>
              </w:rPr>
              <w:t>Stamps, FedEx, USPS services</w:t>
            </w:r>
          </w:p>
        </w:tc>
      </w:tr>
      <w:tr w:rsidR="00926220" w:rsidRPr="002779F6" w14:paraId="103D6D6A" w14:textId="77777777" w:rsidTr="002050B7">
        <w:trPr>
          <w:trHeight w:val="583"/>
        </w:trPr>
        <w:tc>
          <w:tcPr>
            <w:tcW w:w="760" w:type="dxa"/>
            <w:tcBorders>
              <w:top w:val="single" w:sz="8" w:space="0" w:color="000000" w:themeColor="text1"/>
              <w:left w:val="single" w:sz="15" w:space="0" w:color="000000" w:themeColor="text1"/>
              <w:bottom w:val="single" w:sz="15" w:space="0" w:color="000000" w:themeColor="text1"/>
              <w:right w:val="single" w:sz="8" w:space="0" w:color="000000" w:themeColor="text1"/>
            </w:tcBorders>
            <w:vAlign w:val="bottom"/>
          </w:tcPr>
          <w:p w14:paraId="7F31C016" w14:textId="5ED56FF0" w:rsidR="00926220" w:rsidRPr="002779F6" w:rsidRDefault="002F0166" w:rsidP="7A47057C">
            <w:pPr>
              <w:ind w:left="1"/>
              <w:rPr>
                <w:rFonts w:asciiTheme="minorHAnsi" w:hAnsiTheme="minorHAnsi"/>
              </w:rPr>
            </w:pPr>
            <w:r w:rsidRPr="7A47057C">
              <w:rPr>
                <w:rFonts w:asciiTheme="minorHAnsi" w:hAnsiTheme="minorHAnsi"/>
              </w:rPr>
              <w:t>200.47</w:t>
            </w:r>
            <w:r w:rsidR="520DE27E" w:rsidRPr="7A47057C">
              <w:rPr>
                <w:rFonts w:asciiTheme="minorHAnsi" w:hAnsiTheme="minorHAnsi"/>
              </w:rPr>
              <w:t>5</w:t>
            </w:r>
          </w:p>
        </w:tc>
        <w:tc>
          <w:tcPr>
            <w:tcW w:w="4140"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2A31869" w14:textId="77777777" w:rsidR="00926220" w:rsidRPr="002779F6" w:rsidRDefault="002F0166">
            <w:pPr>
              <w:ind w:left="2"/>
              <w:rPr>
                <w:rFonts w:asciiTheme="minorHAnsi" w:hAnsiTheme="minorHAnsi"/>
              </w:rPr>
            </w:pPr>
            <w:r w:rsidRPr="002779F6">
              <w:rPr>
                <w:rFonts w:asciiTheme="minorHAnsi" w:hAnsiTheme="minorHAnsi"/>
              </w:rPr>
              <w:t>Travel costs</w:t>
            </w:r>
          </w:p>
        </w:tc>
        <w:tc>
          <w:tcPr>
            <w:tcW w:w="1576"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5EC36E8" w14:textId="77777777" w:rsidR="00926220" w:rsidRPr="002779F6" w:rsidRDefault="002F0166">
            <w:pPr>
              <w:ind w:left="2"/>
              <w:rPr>
                <w:rFonts w:asciiTheme="minorHAnsi" w:hAnsiTheme="minorHAnsi"/>
              </w:rPr>
            </w:pPr>
            <w:r w:rsidRPr="002779F6">
              <w:rPr>
                <w:rFonts w:asciiTheme="minorHAnsi" w:hAnsiTheme="minorHAnsi"/>
              </w:rPr>
              <w:t>Travel</w:t>
            </w:r>
          </w:p>
        </w:tc>
        <w:tc>
          <w:tcPr>
            <w:tcW w:w="4004" w:type="dxa"/>
            <w:tcBorders>
              <w:top w:val="single" w:sz="8" w:space="0" w:color="000000" w:themeColor="text1"/>
              <w:left w:val="single" w:sz="8" w:space="0" w:color="000000" w:themeColor="text1"/>
              <w:bottom w:val="single" w:sz="15" w:space="0" w:color="000000" w:themeColor="text1"/>
              <w:right w:val="single" w:sz="15" w:space="0" w:color="000000" w:themeColor="text1"/>
            </w:tcBorders>
          </w:tcPr>
          <w:p w14:paraId="4203360D" w14:textId="77777777" w:rsidR="00926220" w:rsidRPr="002779F6" w:rsidRDefault="002F0166">
            <w:pPr>
              <w:ind w:left="2"/>
              <w:rPr>
                <w:rFonts w:asciiTheme="minorHAnsi" w:hAnsiTheme="minorHAnsi"/>
              </w:rPr>
            </w:pPr>
            <w:r w:rsidRPr="002779F6">
              <w:rPr>
                <w:rFonts w:asciiTheme="minorHAnsi" w:hAnsiTheme="minorHAnsi"/>
              </w:rPr>
              <w:t>Mileage, transportation, lodging, meal per diem for employees</w:t>
            </w:r>
          </w:p>
        </w:tc>
      </w:tr>
    </w:tbl>
    <w:p w14:paraId="0EE73E18" w14:textId="77777777" w:rsidR="00744D78" w:rsidRDefault="00744D78" w:rsidP="00744D78">
      <w:pPr>
        <w:spacing w:after="0"/>
        <w:rPr>
          <w:rFonts w:asciiTheme="minorHAnsi" w:eastAsia="Segoe UI" w:hAnsiTheme="minorHAnsi" w:cs="Segoe UI"/>
        </w:rPr>
      </w:pPr>
    </w:p>
    <w:p w14:paraId="226C24D8" w14:textId="41FFD6FB" w:rsidR="00926220" w:rsidRPr="00CE5AFF" w:rsidRDefault="00EA0908" w:rsidP="00744D78">
      <w:pPr>
        <w:spacing w:after="0"/>
        <w:rPr>
          <w:rFonts w:asciiTheme="minorHAnsi" w:hAnsiTheme="minorHAnsi"/>
        </w:rPr>
      </w:pPr>
      <w:r>
        <w:rPr>
          <w:rFonts w:asciiTheme="minorHAnsi" w:eastAsia="Segoe UI" w:hAnsiTheme="minorHAnsi" w:cs="Segoe UI"/>
        </w:rPr>
        <w:lastRenderedPageBreak/>
        <w:t xml:space="preserve">Note on the purchase of mobile apps: </w:t>
      </w:r>
      <w:r w:rsidR="00164CE1">
        <w:rPr>
          <w:rFonts w:asciiTheme="minorHAnsi" w:eastAsia="Segoe UI" w:hAnsiTheme="minorHAnsi" w:cs="Segoe UI"/>
        </w:rPr>
        <w:t xml:space="preserve">The purchase of mobile apps is allowable </w:t>
      </w:r>
      <w:r w:rsidR="00D21F9E">
        <w:rPr>
          <w:rFonts w:asciiTheme="minorHAnsi" w:eastAsia="Segoe UI" w:hAnsiTheme="minorHAnsi" w:cs="Segoe UI"/>
        </w:rPr>
        <w:t>if it meets the purpose of the grant as</w:t>
      </w:r>
      <w:r w:rsidR="00573560">
        <w:rPr>
          <w:rFonts w:asciiTheme="minorHAnsi" w:eastAsia="Segoe UI" w:hAnsiTheme="minorHAnsi" w:cs="Segoe UI"/>
        </w:rPr>
        <w:t xml:space="preserve"> outlined in the grant agreement. Subrecipients choosing to use a gift card (ex. </w:t>
      </w:r>
      <w:r w:rsidR="000E3EFE">
        <w:rPr>
          <w:rFonts w:asciiTheme="minorHAnsi" w:eastAsia="Segoe UI" w:hAnsiTheme="minorHAnsi" w:cs="Segoe UI"/>
        </w:rPr>
        <w:t>i</w:t>
      </w:r>
      <w:r w:rsidR="00573560">
        <w:rPr>
          <w:rFonts w:asciiTheme="minorHAnsi" w:eastAsia="Segoe UI" w:hAnsiTheme="minorHAnsi" w:cs="Segoe UI"/>
        </w:rPr>
        <w:t xml:space="preserve">Tunes) to purchase apps shall not charge the purchase of the </w:t>
      </w:r>
      <w:r w:rsidR="00573560" w:rsidRPr="00FE0F15">
        <w:rPr>
          <w:rFonts w:asciiTheme="minorHAnsi" w:eastAsia="Segoe UI" w:hAnsiTheme="minorHAnsi" w:cs="Segoe UI"/>
          <w:i/>
          <w:iCs/>
        </w:rPr>
        <w:t>gift card</w:t>
      </w:r>
      <w:r w:rsidR="00573560">
        <w:rPr>
          <w:rFonts w:asciiTheme="minorHAnsi" w:eastAsia="Segoe UI" w:hAnsiTheme="minorHAnsi" w:cs="Segoe UI"/>
        </w:rPr>
        <w:t xml:space="preserve"> to the grant</w:t>
      </w:r>
      <w:r w:rsidR="00924C14">
        <w:rPr>
          <w:rFonts w:asciiTheme="minorHAnsi" w:eastAsia="Segoe UI" w:hAnsiTheme="minorHAnsi" w:cs="Segoe UI"/>
        </w:rPr>
        <w:t xml:space="preserve"> and shall only charge the grant once the purchase of the app</w:t>
      </w:r>
      <w:r w:rsidR="006C3ECA">
        <w:rPr>
          <w:rFonts w:asciiTheme="minorHAnsi" w:eastAsia="Segoe UI" w:hAnsiTheme="minorHAnsi" w:cs="Segoe UI"/>
        </w:rPr>
        <w:t xml:space="preserve">. </w:t>
      </w:r>
      <w:r w:rsidR="00E8349D">
        <w:rPr>
          <w:rFonts w:asciiTheme="minorHAnsi" w:eastAsia="Segoe UI" w:hAnsiTheme="minorHAnsi" w:cs="Segoe UI"/>
        </w:rPr>
        <w:t xml:space="preserve">The receipt from the app purchase shall be maintained as support documentation for the purchase. </w:t>
      </w:r>
    </w:p>
    <w:sectPr w:rsidR="00926220" w:rsidRPr="00CE5AFF" w:rsidSect="00F006F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686D" w14:textId="77777777" w:rsidR="00E20144" w:rsidRDefault="00E20144">
      <w:pPr>
        <w:spacing w:after="0" w:line="240" w:lineRule="auto"/>
      </w:pPr>
      <w:r>
        <w:separator/>
      </w:r>
    </w:p>
  </w:endnote>
  <w:endnote w:type="continuationSeparator" w:id="0">
    <w:p w14:paraId="0F926E4E" w14:textId="77777777" w:rsidR="00E20144" w:rsidRDefault="00E2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0825" w14:textId="77777777" w:rsidR="00815E0A" w:rsidRDefault="00815E0A">
    <w:pPr>
      <w:tabs>
        <w:tab w:val="center" w:pos="4560"/>
        <w:tab w:val="center" w:pos="9122"/>
      </w:tabs>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New Section 1 Page </w:t>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r>
      <w:rPr>
        <w:rFonts w:ascii="Times New Roman" w:eastAsia="Times New Roman" w:hAnsi="Times New Roman" w:cs="Times New Roman"/>
        <w:sz w:val="19"/>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474" w14:textId="640E73A5" w:rsidR="00815E0A" w:rsidRDefault="007977D4" w:rsidP="002A4479">
    <w:pPr>
      <w:spacing w:after="0" w:line="240" w:lineRule="auto"/>
    </w:pPr>
    <w:r w:rsidRPr="0644AD55">
      <w:t>DODD EISC Agreement 7.1.2</w:t>
    </w:r>
    <w:r w:rsidR="00640A42">
      <w:t>3</w:t>
    </w:r>
    <w:r w:rsidR="002A4479">
      <w:t xml:space="preserve"> </w:t>
    </w:r>
    <w:r w:rsidR="002A4479">
      <w:tab/>
    </w:r>
    <w:r w:rsidR="002A4479">
      <w:tab/>
    </w:r>
    <w:r w:rsidR="002A4479">
      <w:tab/>
    </w:r>
    <w:r w:rsidR="002A4479">
      <w:tab/>
    </w:r>
    <w:r w:rsidR="002A4479">
      <w:tab/>
    </w:r>
    <w:r w:rsidR="002A4479">
      <w:tab/>
    </w:r>
    <w:r w:rsidRPr="31FE8E6C">
      <w:t>Exhibit A - Allowable Costs</w:t>
    </w:r>
    <w:r>
      <w:t xml:space="preserv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7"/>
      <w:gridCol w:w="3547"/>
      <w:gridCol w:w="3547"/>
    </w:tblGrid>
    <w:tr w:rsidR="31FE8E6C" w14:paraId="30F49E0E" w14:textId="77777777" w:rsidTr="00E55187">
      <w:tc>
        <w:tcPr>
          <w:tcW w:w="3547" w:type="dxa"/>
        </w:tcPr>
        <w:p w14:paraId="1B81987C" w14:textId="682676E8" w:rsidR="31FE8E6C" w:rsidRDefault="31FE8E6C" w:rsidP="006B2FD6">
          <w:pPr>
            <w:spacing w:after="0" w:line="240" w:lineRule="auto"/>
          </w:pPr>
        </w:p>
      </w:tc>
      <w:tc>
        <w:tcPr>
          <w:tcW w:w="3547" w:type="dxa"/>
        </w:tcPr>
        <w:p w14:paraId="18A0B034" w14:textId="72D6C93F" w:rsidR="31FE8E6C" w:rsidRDefault="31FE8E6C" w:rsidP="00E55187">
          <w:pPr>
            <w:pStyle w:val="Header"/>
            <w:jc w:val="center"/>
          </w:pPr>
        </w:p>
      </w:tc>
      <w:tc>
        <w:tcPr>
          <w:tcW w:w="3547" w:type="dxa"/>
        </w:tcPr>
        <w:p w14:paraId="06F4F076" w14:textId="5B1BFD26" w:rsidR="31FE8E6C" w:rsidRDefault="31FE8E6C" w:rsidP="00E55187">
          <w:pPr>
            <w:pStyle w:val="Header"/>
            <w:ind w:right="-115"/>
            <w:jc w:val="right"/>
          </w:pPr>
        </w:p>
      </w:tc>
    </w:tr>
  </w:tbl>
  <w:p w14:paraId="46825B3E" w14:textId="63F92050" w:rsidR="31FE8E6C" w:rsidRDefault="31FE8E6C" w:rsidP="0079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7F9" w14:textId="77777777" w:rsidR="00E20144" w:rsidRDefault="00E20144">
      <w:pPr>
        <w:spacing w:after="0" w:line="240" w:lineRule="auto"/>
      </w:pPr>
      <w:r>
        <w:separator/>
      </w:r>
    </w:p>
  </w:footnote>
  <w:footnote w:type="continuationSeparator" w:id="0">
    <w:p w14:paraId="67665397" w14:textId="77777777" w:rsidR="00E20144" w:rsidRDefault="00E2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7"/>
      <w:gridCol w:w="3547"/>
      <w:gridCol w:w="3547"/>
    </w:tblGrid>
    <w:tr w:rsidR="31FE8E6C" w14:paraId="04A61B07" w14:textId="77777777" w:rsidTr="13419010">
      <w:tc>
        <w:tcPr>
          <w:tcW w:w="3547" w:type="dxa"/>
        </w:tcPr>
        <w:p w14:paraId="531A7F84" w14:textId="513ED90D" w:rsidR="31FE8E6C" w:rsidRDefault="31FE8E6C" w:rsidP="13419010">
          <w:pPr>
            <w:pStyle w:val="Header"/>
            <w:ind w:left="-115"/>
          </w:pPr>
        </w:p>
      </w:tc>
      <w:tc>
        <w:tcPr>
          <w:tcW w:w="3547" w:type="dxa"/>
        </w:tcPr>
        <w:p w14:paraId="6B195A12" w14:textId="1EED248D" w:rsidR="31FE8E6C" w:rsidRDefault="31FE8E6C" w:rsidP="00E55187">
          <w:pPr>
            <w:pStyle w:val="Header"/>
            <w:jc w:val="center"/>
          </w:pPr>
        </w:p>
      </w:tc>
      <w:tc>
        <w:tcPr>
          <w:tcW w:w="3547" w:type="dxa"/>
        </w:tcPr>
        <w:p w14:paraId="2F20C972" w14:textId="62A57C89" w:rsidR="31FE8E6C" w:rsidRDefault="31FE8E6C" w:rsidP="00E55187">
          <w:pPr>
            <w:pStyle w:val="Header"/>
            <w:ind w:right="-115"/>
            <w:jc w:val="right"/>
          </w:pPr>
        </w:p>
      </w:tc>
    </w:tr>
  </w:tbl>
  <w:p w14:paraId="43C23AD9" w14:textId="1171CDAA" w:rsidR="31FE8E6C" w:rsidRDefault="31FE8E6C" w:rsidP="00E5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7"/>
      <w:gridCol w:w="3547"/>
      <w:gridCol w:w="3547"/>
    </w:tblGrid>
    <w:tr w:rsidR="31FE8E6C" w14:paraId="763F732B" w14:textId="77777777" w:rsidTr="00E55187">
      <w:tc>
        <w:tcPr>
          <w:tcW w:w="3547" w:type="dxa"/>
        </w:tcPr>
        <w:p w14:paraId="769AE1E4" w14:textId="3C3D1179" w:rsidR="31FE8E6C" w:rsidRDefault="31FE8E6C" w:rsidP="00E55187">
          <w:pPr>
            <w:pStyle w:val="Header"/>
            <w:ind w:left="-115"/>
          </w:pPr>
        </w:p>
      </w:tc>
      <w:tc>
        <w:tcPr>
          <w:tcW w:w="3547" w:type="dxa"/>
        </w:tcPr>
        <w:p w14:paraId="74F1AEB9" w14:textId="57B8506E" w:rsidR="31FE8E6C" w:rsidRDefault="31FE8E6C" w:rsidP="00E55187">
          <w:pPr>
            <w:pStyle w:val="Header"/>
            <w:jc w:val="center"/>
          </w:pPr>
        </w:p>
      </w:tc>
      <w:tc>
        <w:tcPr>
          <w:tcW w:w="3547" w:type="dxa"/>
        </w:tcPr>
        <w:p w14:paraId="5A5ABADB" w14:textId="6FD73BC0" w:rsidR="31FE8E6C" w:rsidRDefault="31FE8E6C" w:rsidP="00E55187">
          <w:pPr>
            <w:pStyle w:val="Header"/>
            <w:ind w:right="-115"/>
            <w:jc w:val="right"/>
          </w:pPr>
        </w:p>
      </w:tc>
    </w:tr>
  </w:tbl>
  <w:p w14:paraId="6BE36A37" w14:textId="237595AE" w:rsidR="31FE8E6C" w:rsidRDefault="31FE8E6C" w:rsidP="00E55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396"/>
    <w:multiLevelType w:val="hybridMultilevel"/>
    <w:tmpl w:val="C6B49AC0"/>
    <w:lvl w:ilvl="0" w:tplc="6358BA08">
      <w:start w:val="18"/>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3AF5BA">
      <w:start w:val="1"/>
      <w:numFmt w:val="decimal"/>
      <w:lvlText w:val="%2."/>
      <w:lvlJc w:val="left"/>
      <w:pPr>
        <w:ind w:left="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681FF0">
      <w:start w:val="1"/>
      <w:numFmt w:val="lowerLetter"/>
      <w:lvlText w:val="%3."/>
      <w:lvlJc w:val="left"/>
      <w:pPr>
        <w:ind w:left="1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1833F8">
      <w:start w:val="1"/>
      <w:numFmt w:val="decimal"/>
      <w:lvlText w:val="%4"/>
      <w:lvlJc w:val="left"/>
      <w:pPr>
        <w:ind w:left="18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544134">
      <w:start w:val="1"/>
      <w:numFmt w:val="lowerLetter"/>
      <w:lvlText w:val="%5"/>
      <w:lvlJc w:val="left"/>
      <w:pPr>
        <w:ind w:left="25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C22EC0">
      <w:start w:val="1"/>
      <w:numFmt w:val="lowerRoman"/>
      <w:lvlText w:val="%6"/>
      <w:lvlJc w:val="left"/>
      <w:pPr>
        <w:ind w:left="3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9AE0A2">
      <w:start w:val="1"/>
      <w:numFmt w:val="decimal"/>
      <w:lvlText w:val="%7"/>
      <w:lvlJc w:val="left"/>
      <w:pPr>
        <w:ind w:left="39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4AE646">
      <w:start w:val="1"/>
      <w:numFmt w:val="lowerLetter"/>
      <w:lvlText w:val="%8"/>
      <w:lvlJc w:val="left"/>
      <w:pPr>
        <w:ind w:left="47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24AC78">
      <w:start w:val="1"/>
      <w:numFmt w:val="lowerRoman"/>
      <w:lvlText w:val="%9"/>
      <w:lvlJc w:val="left"/>
      <w:pPr>
        <w:ind w:left="54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AA7617"/>
    <w:multiLevelType w:val="hybridMultilevel"/>
    <w:tmpl w:val="20ACA886"/>
    <w:lvl w:ilvl="0" w:tplc="ABBCBE12">
      <w:start w:val="7"/>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F483A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0AE19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08787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BCF0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860A9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C679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F65C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3449D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BB2620"/>
    <w:multiLevelType w:val="hybridMultilevel"/>
    <w:tmpl w:val="C3ECEB92"/>
    <w:lvl w:ilvl="0" w:tplc="C3180A00">
      <w:start w:val="13"/>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8D7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E46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684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E3A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245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CC9C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2E9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E221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9F4884"/>
    <w:multiLevelType w:val="hybridMultilevel"/>
    <w:tmpl w:val="86E0DB3A"/>
    <w:lvl w:ilvl="0" w:tplc="F2684246">
      <w:start w:val="24"/>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DCDB2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30C20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2630A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B06D8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58D8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36EB7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AADC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2C679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504269C"/>
    <w:multiLevelType w:val="hybridMultilevel"/>
    <w:tmpl w:val="E9F4E300"/>
    <w:lvl w:ilvl="0" w:tplc="1EF05532">
      <w:start w:val="16"/>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6D6A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8A958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604D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C4B2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6283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A06A5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27ECF5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106BE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2236B9F"/>
    <w:multiLevelType w:val="hybridMultilevel"/>
    <w:tmpl w:val="DCF4F514"/>
    <w:lvl w:ilvl="0" w:tplc="C422CEFE">
      <w:start w:val="1"/>
      <w:numFmt w:val="decimal"/>
      <w:lvlText w:val="%1."/>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E8B44">
      <w:start w:val="1"/>
      <w:numFmt w:val="lowerLetter"/>
      <w:lvlText w:val="%2."/>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47AA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6CEFC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D8916E">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6640C">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4956">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60DB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27B06">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3A2518"/>
    <w:multiLevelType w:val="hybridMultilevel"/>
    <w:tmpl w:val="907423B0"/>
    <w:lvl w:ilvl="0" w:tplc="80222D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440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C84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222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40C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E28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80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AD8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E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1E3E5F"/>
    <w:multiLevelType w:val="hybridMultilevel"/>
    <w:tmpl w:val="E540463E"/>
    <w:lvl w:ilvl="0" w:tplc="35E27D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E33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5D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677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47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0E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8A3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6C2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197D58"/>
    <w:multiLevelType w:val="hybridMultilevel"/>
    <w:tmpl w:val="FCE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97BFA"/>
    <w:multiLevelType w:val="hybridMultilevel"/>
    <w:tmpl w:val="D9FE95EA"/>
    <w:lvl w:ilvl="0" w:tplc="DC347464">
      <w:start w:val="6"/>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09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A07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EA9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EC2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42CB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EBE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41A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2B4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68880871">
    <w:abstractNumId w:val="6"/>
  </w:num>
  <w:num w:numId="2" w16cid:durableId="1898124134">
    <w:abstractNumId w:val="7"/>
  </w:num>
  <w:num w:numId="3" w16cid:durableId="35814231">
    <w:abstractNumId w:val="5"/>
  </w:num>
  <w:num w:numId="4" w16cid:durableId="1531407226">
    <w:abstractNumId w:val="9"/>
  </w:num>
  <w:num w:numId="5" w16cid:durableId="452795935">
    <w:abstractNumId w:val="2"/>
  </w:num>
  <w:num w:numId="6" w16cid:durableId="2079742938">
    <w:abstractNumId w:val="0"/>
  </w:num>
  <w:num w:numId="7" w16cid:durableId="113134986">
    <w:abstractNumId w:val="1"/>
  </w:num>
  <w:num w:numId="8" w16cid:durableId="1908030422">
    <w:abstractNumId w:val="4"/>
  </w:num>
  <w:num w:numId="9" w16cid:durableId="805008610">
    <w:abstractNumId w:val="3"/>
  </w:num>
  <w:num w:numId="10" w16cid:durableId="537550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20"/>
    <w:rsid w:val="00022207"/>
    <w:rsid w:val="0002527A"/>
    <w:rsid w:val="0003684B"/>
    <w:rsid w:val="00036F1C"/>
    <w:rsid w:val="00075637"/>
    <w:rsid w:val="000A3901"/>
    <w:rsid w:val="000E3EFE"/>
    <w:rsid w:val="00123266"/>
    <w:rsid w:val="00147FFA"/>
    <w:rsid w:val="0015683A"/>
    <w:rsid w:val="00164CE1"/>
    <w:rsid w:val="001F3813"/>
    <w:rsid w:val="002050B7"/>
    <w:rsid w:val="002056C2"/>
    <w:rsid w:val="002108CF"/>
    <w:rsid w:val="00213125"/>
    <w:rsid w:val="00233D36"/>
    <w:rsid w:val="002365A2"/>
    <w:rsid w:val="002779F6"/>
    <w:rsid w:val="002A4479"/>
    <w:rsid w:val="002B574A"/>
    <w:rsid w:val="002D37DB"/>
    <w:rsid w:val="002F0166"/>
    <w:rsid w:val="00312FAE"/>
    <w:rsid w:val="00344837"/>
    <w:rsid w:val="003910D4"/>
    <w:rsid w:val="00415561"/>
    <w:rsid w:val="004E0CB7"/>
    <w:rsid w:val="0050307C"/>
    <w:rsid w:val="00516712"/>
    <w:rsid w:val="00572D22"/>
    <w:rsid w:val="00573560"/>
    <w:rsid w:val="00575DB7"/>
    <w:rsid w:val="00586F38"/>
    <w:rsid w:val="00640A42"/>
    <w:rsid w:val="006440B7"/>
    <w:rsid w:val="00696D4B"/>
    <w:rsid w:val="006A672E"/>
    <w:rsid w:val="006B2FD6"/>
    <w:rsid w:val="006C3ECA"/>
    <w:rsid w:val="0072406E"/>
    <w:rsid w:val="00744D78"/>
    <w:rsid w:val="007977D4"/>
    <w:rsid w:val="007C2CD6"/>
    <w:rsid w:val="007D2F12"/>
    <w:rsid w:val="007F0063"/>
    <w:rsid w:val="007F106E"/>
    <w:rsid w:val="00815E0A"/>
    <w:rsid w:val="00891D8B"/>
    <w:rsid w:val="00924C14"/>
    <w:rsid w:val="00926220"/>
    <w:rsid w:val="00931AAD"/>
    <w:rsid w:val="00942AF8"/>
    <w:rsid w:val="009C1C38"/>
    <w:rsid w:val="00A10FA7"/>
    <w:rsid w:val="00A27EC3"/>
    <w:rsid w:val="00B85765"/>
    <w:rsid w:val="00BC0D75"/>
    <w:rsid w:val="00BC76DC"/>
    <w:rsid w:val="00BF4DBD"/>
    <w:rsid w:val="00C05912"/>
    <w:rsid w:val="00CE5AFF"/>
    <w:rsid w:val="00D21F9E"/>
    <w:rsid w:val="00D91041"/>
    <w:rsid w:val="00DA238D"/>
    <w:rsid w:val="00DA4653"/>
    <w:rsid w:val="00DE0EED"/>
    <w:rsid w:val="00DE7031"/>
    <w:rsid w:val="00E20144"/>
    <w:rsid w:val="00E23161"/>
    <w:rsid w:val="00E55187"/>
    <w:rsid w:val="00E8349D"/>
    <w:rsid w:val="00EA0908"/>
    <w:rsid w:val="00F006FD"/>
    <w:rsid w:val="00F260F9"/>
    <w:rsid w:val="00F44CA0"/>
    <w:rsid w:val="00F9283E"/>
    <w:rsid w:val="00FE0F15"/>
    <w:rsid w:val="00FE3B7F"/>
    <w:rsid w:val="025BBACF"/>
    <w:rsid w:val="0496C880"/>
    <w:rsid w:val="04B75FE1"/>
    <w:rsid w:val="04DF9146"/>
    <w:rsid w:val="0551D8BF"/>
    <w:rsid w:val="05D994CE"/>
    <w:rsid w:val="0644AD55"/>
    <w:rsid w:val="076F45CC"/>
    <w:rsid w:val="08987287"/>
    <w:rsid w:val="091DF120"/>
    <w:rsid w:val="09C98390"/>
    <w:rsid w:val="0D7B5237"/>
    <w:rsid w:val="0F9A834A"/>
    <w:rsid w:val="13419010"/>
    <w:rsid w:val="18C641D9"/>
    <w:rsid w:val="1AF0C575"/>
    <w:rsid w:val="1E3B720E"/>
    <w:rsid w:val="1EC9CC5B"/>
    <w:rsid w:val="1FAC8B10"/>
    <w:rsid w:val="21B606FB"/>
    <w:rsid w:val="223337E6"/>
    <w:rsid w:val="25860DD9"/>
    <w:rsid w:val="28568EE8"/>
    <w:rsid w:val="29EAACC4"/>
    <w:rsid w:val="2C74E0B4"/>
    <w:rsid w:val="2CF3B43D"/>
    <w:rsid w:val="2EDBB687"/>
    <w:rsid w:val="317E1849"/>
    <w:rsid w:val="31D61953"/>
    <w:rsid w:val="31FE8E6C"/>
    <w:rsid w:val="362FB43C"/>
    <w:rsid w:val="39586E06"/>
    <w:rsid w:val="3A959E80"/>
    <w:rsid w:val="3E7E8E20"/>
    <w:rsid w:val="40089013"/>
    <w:rsid w:val="4041B899"/>
    <w:rsid w:val="41799289"/>
    <w:rsid w:val="43810711"/>
    <w:rsid w:val="4496A7AC"/>
    <w:rsid w:val="46B00BB2"/>
    <w:rsid w:val="4DAB5B22"/>
    <w:rsid w:val="4DD6CC1D"/>
    <w:rsid w:val="50B86DEA"/>
    <w:rsid w:val="520DE27E"/>
    <w:rsid w:val="52C878DF"/>
    <w:rsid w:val="53E160E4"/>
    <w:rsid w:val="565B4395"/>
    <w:rsid w:val="5691D8F6"/>
    <w:rsid w:val="5747C57A"/>
    <w:rsid w:val="63EF380B"/>
    <w:rsid w:val="64FD4245"/>
    <w:rsid w:val="66F4D3E3"/>
    <w:rsid w:val="6957D9A5"/>
    <w:rsid w:val="6AA99791"/>
    <w:rsid w:val="6B32DAD5"/>
    <w:rsid w:val="6D48B453"/>
    <w:rsid w:val="6DCC26E1"/>
    <w:rsid w:val="6E867100"/>
    <w:rsid w:val="7129799C"/>
    <w:rsid w:val="72C549FD"/>
    <w:rsid w:val="72D47833"/>
    <w:rsid w:val="741993B9"/>
    <w:rsid w:val="74611A5E"/>
    <w:rsid w:val="75FCEABF"/>
    <w:rsid w:val="77307428"/>
    <w:rsid w:val="7A47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AC111"/>
  <w15:docId w15:val="{DB74C0B6-EED6-4E8D-B74B-C11FF763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F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66"/>
    <w:rPr>
      <w:rFonts w:ascii="Segoe UI" w:eastAsia="Calibri" w:hAnsi="Segoe UI" w:cs="Segoe UI"/>
      <w:color w:val="000000"/>
      <w:sz w:val="18"/>
      <w:szCs w:val="18"/>
    </w:rPr>
  </w:style>
  <w:style w:type="paragraph" w:styleId="NoSpacing">
    <w:name w:val="No Spacing"/>
    <w:uiPriority w:val="1"/>
    <w:qFormat/>
    <w:rsid w:val="002779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F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63"/>
    <w:rPr>
      <w:rFonts w:ascii="Calibri" w:eastAsia="Calibri" w:hAnsi="Calibri" w:cs="Calibri"/>
      <w:color w:val="000000"/>
    </w:rPr>
  </w:style>
  <w:style w:type="character" w:styleId="CommentReference">
    <w:name w:val="annotation reference"/>
    <w:basedOn w:val="DefaultParagraphFont"/>
    <w:uiPriority w:val="99"/>
    <w:semiHidden/>
    <w:unhideWhenUsed/>
    <w:rsid w:val="00696D4B"/>
    <w:rPr>
      <w:sz w:val="16"/>
      <w:szCs w:val="16"/>
    </w:rPr>
  </w:style>
  <w:style w:type="paragraph" w:styleId="CommentText">
    <w:name w:val="annotation text"/>
    <w:basedOn w:val="Normal"/>
    <w:link w:val="CommentTextChar"/>
    <w:uiPriority w:val="99"/>
    <w:semiHidden/>
    <w:unhideWhenUsed/>
    <w:rsid w:val="00696D4B"/>
    <w:pPr>
      <w:spacing w:line="240" w:lineRule="auto"/>
    </w:pPr>
    <w:rPr>
      <w:sz w:val="20"/>
      <w:szCs w:val="20"/>
    </w:rPr>
  </w:style>
  <w:style w:type="character" w:customStyle="1" w:styleId="CommentTextChar">
    <w:name w:val="Comment Text Char"/>
    <w:basedOn w:val="DefaultParagraphFont"/>
    <w:link w:val="CommentText"/>
    <w:uiPriority w:val="99"/>
    <w:semiHidden/>
    <w:rsid w:val="00696D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96D4B"/>
    <w:rPr>
      <w:b/>
      <w:bCs/>
    </w:rPr>
  </w:style>
  <w:style w:type="character" w:customStyle="1" w:styleId="CommentSubjectChar">
    <w:name w:val="Comment Subject Char"/>
    <w:basedOn w:val="CommentTextChar"/>
    <w:link w:val="CommentSubject"/>
    <w:uiPriority w:val="99"/>
    <w:semiHidden/>
    <w:rsid w:val="00696D4B"/>
    <w:rPr>
      <w:rFonts w:ascii="Calibri" w:eastAsia="Calibri" w:hAnsi="Calibri" w:cs="Calibri"/>
      <w:b/>
      <w:bCs/>
      <w:color w:val="000000"/>
      <w:sz w:val="20"/>
      <w:szCs w:val="20"/>
    </w:rPr>
  </w:style>
  <w:style w:type="paragraph" w:styleId="ListParagraph">
    <w:name w:val="List Paragraph"/>
    <w:basedOn w:val="Normal"/>
    <w:uiPriority w:val="34"/>
    <w:qFormat/>
    <w:rsid w:val="00147FFA"/>
    <w:pPr>
      <w:ind w:left="720"/>
      <w:contextualSpacing/>
    </w:pPr>
  </w:style>
  <w:style w:type="paragraph" w:styleId="Footer">
    <w:name w:val="footer"/>
    <w:basedOn w:val="Normal"/>
    <w:link w:val="FooterChar"/>
    <w:uiPriority w:val="99"/>
    <w:unhideWhenUsed/>
    <w:rsid w:val="000A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01"/>
    <w:rPr>
      <w:rFonts w:ascii="Calibri" w:eastAsia="Calibri" w:hAnsi="Calibri" w:cs="Calibri"/>
      <w:color w:val="000000"/>
    </w:rPr>
  </w:style>
  <w:style w:type="paragraph" w:styleId="Revision">
    <w:name w:val="Revision"/>
    <w:hidden/>
    <w:uiPriority w:val="99"/>
    <w:semiHidden/>
    <w:rsid w:val="0002527A"/>
    <w:pPr>
      <w:spacing w:after="0" w:line="240" w:lineRule="auto"/>
    </w:pPr>
    <w:rPr>
      <w:rFonts w:ascii="Calibri" w:eastAsia="Calibri" w:hAnsi="Calibri" w:cs="Calibri"/>
      <w:color w:val="000000"/>
    </w:rPr>
  </w:style>
  <w:style w:type="character" w:styleId="Hyperlink">
    <w:name w:val="Hyperlink"/>
    <w:unhideWhenUsed/>
    <w:rsid w:val="00F26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m.ohio.gov/wps/portal/gov/obm/areas-of-interest/agency-overview/obm-travel-rule/obm-travel-rul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Foskuhl, Jacob</dc:creator>
  <cp:keywords/>
  <cp:lastModifiedBy>Foskuhl, Jacob</cp:lastModifiedBy>
  <cp:revision>72</cp:revision>
  <dcterms:created xsi:type="dcterms:W3CDTF">2019-03-14T20:17:00Z</dcterms:created>
  <dcterms:modified xsi:type="dcterms:W3CDTF">2023-04-06T18:54:00Z</dcterms:modified>
</cp:coreProperties>
</file>